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577B">
      <w:pPr>
        <w:keepNext w:val="0"/>
        <w:keepLines w:val="0"/>
        <w:pageBreakBefore w:val="0"/>
        <w:kinsoku/>
        <w:wordWrap/>
        <w:overflowPunct/>
        <w:topLinePunct w:val="0"/>
        <w:autoSpaceDE/>
        <w:autoSpaceDN/>
        <w:bidi w:val="0"/>
        <w:adjustRightInd/>
        <w:snapToGrid w:val="0"/>
        <w:spacing w:line="560" w:lineRule="exact"/>
        <w:ind w:left="0" w:leftChars="0" w:firstLine="0" w:firstLineChars="0"/>
        <w:textAlignment w:val="auto"/>
        <w:rPr>
          <w:rFonts w:hint="eastAsia" w:ascii="仿宋_GB2312" w:hAnsi="仿宋_GB2312" w:eastAsia="仿宋_GB2312" w:cs="仿宋_GB2312"/>
          <w:i w:val="0"/>
          <w:iCs w:val="0"/>
          <w:color w:val="auto"/>
          <w:kern w:val="0"/>
          <w:sz w:val="32"/>
          <w:szCs w:val="32"/>
          <w:u w:val="none"/>
          <w:lang w:val="en-US" w:eastAsia="zh-CN"/>
        </w:rPr>
      </w:pPr>
      <w:r>
        <w:rPr>
          <w:rFonts w:hint="eastAsia" w:ascii="仿宋_GB2312" w:hAnsi="仿宋_GB2312" w:eastAsia="仿宋_GB2312" w:cs="仿宋_GB2312"/>
          <w:i w:val="0"/>
          <w:iCs w:val="0"/>
          <w:color w:val="auto"/>
          <w:kern w:val="0"/>
          <w:sz w:val="32"/>
          <w:szCs w:val="32"/>
          <w:u w:val="none"/>
          <w:lang w:val="en-US" w:eastAsia="zh-CN"/>
        </w:rPr>
        <w:t>附件1</w:t>
      </w:r>
    </w:p>
    <w:p w14:paraId="0C11467B">
      <w:pPr>
        <w:pStyle w:val="5"/>
        <w:keepNext w:val="0"/>
        <w:keepLines w:val="0"/>
        <w:pageBreakBefore w:val="0"/>
        <w:kinsoku/>
        <w:wordWrap/>
        <w:overflowPunct/>
        <w:topLinePunct w:val="0"/>
        <w:autoSpaceDE/>
        <w:autoSpaceDN/>
        <w:bidi w:val="0"/>
        <w:adjustRightInd/>
        <w:snapToGrid w:val="0"/>
        <w:spacing w:line="560" w:lineRule="exact"/>
        <w:textAlignment w:val="auto"/>
        <w:rPr>
          <w:rFonts w:hint="eastAsia" w:ascii="宋体" w:hAnsi="宋体" w:eastAsia="宋体" w:cs="宋体"/>
          <w:b w:val="0"/>
          <w:bCs w:val="0"/>
          <w:color w:val="auto"/>
          <w:sz w:val="24"/>
          <w:szCs w:val="24"/>
          <w:lang w:val="en-US" w:eastAsia="zh-CN"/>
        </w:rPr>
      </w:pPr>
    </w:p>
    <w:p w14:paraId="5F564513">
      <w:pPr>
        <w:pStyle w:val="2"/>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简体" w:hAnsi="方正小标宋简体" w:eastAsia="方正小标宋简体" w:cs="方正小标宋简体"/>
          <w:b w:val="0"/>
          <w:bCs w:val="0"/>
          <w:color w:val="auto"/>
          <w:sz w:val="44"/>
          <w:szCs w:val="44"/>
          <w:lang w:val="en-US" w:eastAsia="zh-CN"/>
        </w:rPr>
      </w:pPr>
      <w:bookmarkStart w:id="0" w:name="_GoBack"/>
      <w:r>
        <w:rPr>
          <w:rFonts w:hint="eastAsia" w:ascii="方正小标宋简体" w:hAnsi="方正小标宋简体" w:eastAsia="方正小标宋简体" w:cs="方正小标宋简体"/>
          <w:b w:val="0"/>
          <w:bCs w:val="0"/>
          <w:color w:val="auto"/>
          <w:sz w:val="44"/>
          <w:szCs w:val="44"/>
          <w:lang w:val="en-US" w:eastAsia="zh-CN"/>
        </w:rPr>
        <w:t>水利水电工程施工企业主要负责人</w:t>
      </w:r>
    </w:p>
    <w:p w14:paraId="30CDC18D">
      <w:pPr>
        <w:pStyle w:val="2"/>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项目负责人和专职安全生产</w:t>
      </w:r>
      <w:r>
        <w:rPr>
          <w:rFonts w:hint="eastAsia" w:ascii="方正小标宋简体" w:hAnsi="方正小标宋简体" w:eastAsia="方正小标宋简体" w:cs="方正小标宋简体"/>
          <w:color w:val="auto"/>
          <w:sz w:val="44"/>
          <w:szCs w:val="44"/>
          <w:lang w:val="en-US" w:eastAsia="zh-CN"/>
        </w:rPr>
        <w:t>管理人员</w:t>
      </w:r>
    </w:p>
    <w:p w14:paraId="3DBDFD21">
      <w:pPr>
        <w:pStyle w:val="2"/>
        <w:keepNext w:val="0"/>
        <w:keepLines w:val="0"/>
        <w:pageBreakBefore w:val="0"/>
        <w:widowControl w:val="0"/>
        <w:kinsoku/>
        <w:wordWrap/>
        <w:overflowPunct/>
        <w:topLinePunct w:val="0"/>
        <w:autoSpaceDE/>
        <w:autoSpaceDN/>
        <w:bidi w:val="0"/>
        <w:adjustRightInd/>
        <w:snapToGrid w:val="0"/>
        <w:spacing w:before="0" w:line="560" w:lineRule="exact"/>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安全生产考试大纲</w:t>
      </w:r>
    </w:p>
    <w:bookmarkEnd w:id="0"/>
    <w:p w14:paraId="72120A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9"/>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（办监督函〔2023〕718号）</w:t>
      </w:r>
    </w:p>
    <w:p w14:paraId="38C4A535">
      <w:pPr>
        <w:pStyle w:val="3"/>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 适用范围</w:t>
      </w:r>
    </w:p>
    <w:p w14:paraId="290403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1.0.1 根据《水利水电工程施工企业主要负责人、项目负责人和专职安全生产管理人员安全生产考核管理办法》（水监督〔2022〕326号）要求制定本大纲。</w:t>
      </w:r>
    </w:p>
    <w:p w14:paraId="5593D2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1.0.2 本大纲规定了水利水电工程施工企业主要负责人、项目负责人和专职安全生产管理人员（以下统称安管人员）的安全生产考试内容和要求，适用于安管人员的安全生产考试。</w:t>
      </w:r>
    </w:p>
    <w:p w14:paraId="74E2A428">
      <w:pPr>
        <w:pStyle w:val="3"/>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 考试内容和命题</w:t>
      </w:r>
    </w:p>
    <w:p w14:paraId="18731FB5">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 考试内容</w:t>
      </w:r>
    </w:p>
    <w:p w14:paraId="61B4CB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2.1.1 安全生产考试内容包括安全生产知识和管理能力两部分。</w:t>
      </w:r>
    </w:p>
    <w:p w14:paraId="34CD0B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2.1.2 安全生产知识主要包括安全生产相关法规政策和安全生产技术。</w:t>
      </w:r>
    </w:p>
    <w:p w14:paraId="1F0407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2.1.3 安全生产管理能力主要包括安全生产管理基本知识和履职能力。</w:t>
      </w:r>
    </w:p>
    <w:p w14:paraId="1CF7BF6F">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 考试命题</w:t>
      </w:r>
    </w:p>
    <w:p w14:paraId="4ECB0E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2.2.1 安全生产考试分为主要负责人考试、项目负责人考试和专职安全生产管理人员考试。</w:t>
      </w:r>
    </w:p>
    <w:p w14:paraId="7BE01AE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2.2.2 主要负责人考试内容为：安全生产相关法规政策（60%），安全生产管理基本知识（10%），安全生产管理履职能力（30%）。</w:t>
      </w:r>
    </w:p>
    <w:p w14:paraId="64E03C3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2.2.3 项目负责人考试内容为：安全生产相关法规政策（30%），安全生产技术（30%），安全生产管理基本知识（10%），安全生产管理履职能力（30%）。</w:t>
      </w:r>
    </w:p>
    <w:p w14:paraId="3D096CC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2.2.4 专职安全生产管理人员考试内容为：安全生产相关法规政策（20%），安全生产技术（40%），安全生产管理基本知识（10%），安全生产管理履职能力（30%）。</w:t>
      </w:r>
    </w:p>
    <w:p w14:paraId="4AC3D082">
      <w:pPr>
        <w:pStyle w:val="3"/>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 安全生产知识考试要点</w:t>
      </w:r>
    </w:p>
    <w:p w14:paraId="5F1043BB">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 安全生产法律法规政策</w:t>
      </w:r>
    </w:p>
    <w:p w14:paraId="115F62B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 习近平总书记关于安全生产重要论述。</w:t>
      </w:r>
    </w:p>
    <w:p w14:paraId="6B2C48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 《中华人民共和国安全生产法》中立法目的、工作方针、生产经营单位安全生产保障、从业人员安全生产权力义务、生产安全事故应急救援与调查处理、生产经营单位及相关人员法律责任等相关规定。</w:t>
      </w:r>
    </w:p>
    <w:p w14:paraId="480D960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3.1.3 《中华人民共和国劳动法》中劳动安全卫生、女职工和未成年工特殊保护、用人单位法律责任等相关规定。</w:t>
      </w:r>
    </w:p>
    <w:p w14:paraId="16EE7EA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3.1.4 《中华人民共和国消防法》中生产经营单位消防安全职责、消防安全管理及法律责任等相关规定。</w:t>
      </w:r>
    </w:p>
    <w:p w14:paraId="03C0F93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3.1.5 《中华人民共和国职业病防治法》中工作场所职业卫生要求、劳动过程中的防护与管理、职业病病人保障、用人单位法律责任等相关规定。</w:t>
      </w:r>
    </w:p>
    <w:p w14:paraId="08A1913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3.1.6 《中华人民共和国特种设备安全法》中特种设备涵盖范围、特种设备使用单位安全主体职责、特种设备事故应急救援与调查处理、特种设备使用单位法律责任等相关规定。</w:t>
      </w:r>
    </w:p>
    <w:p w14:paraId="0CC324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3.1.7 《中华人民共和国防汛条例》中防汛工作方针、防汛组织机构设立、有防汛抗洪任务的企业职责、防汛抢险措施的制定及落实、承担防汛抢险任务的企业和当事人法律责任等相关规定。</w:t>
      </w:r>
    </w:p>
    <w:p w14:paraId="57D135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3.1.8 《工伤保险条例》中工伤保险费缴纳、工伤认定、工伤保险待遇等相关规定。</w:t>
      </w:r>
    </w:p>
    <w:p w14:paraId="41E847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3.1.9 《建设工程安全生产管理条例》中施工单位的安全责任。</w:t>
      </w:r>
    </w:p>
    <w:p w14:paraId="664BF0C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3.1.10 《安全生产许可证条例》中安全生产许可证取得、延期、使用条件、企业法律责任等相关规定。</w:t>
      </w:r>
    </w:p>
    <w:p w14:paraId="5AB6522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3.1.11 《民用爆炸物品安全管理条例》中民用爆炸物品购买、储存、使用以及相关单位法律责任等相关规定。</w:t>
      </w:r>
    </w:p>
    <w:p w14:paraId="1CBA4D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3.1.12 《生产安全事故报告和调查处理条例》中生产安全事故等级划分、事故报告程序和内容、事故处理基本原则等相关规定。</w:t>
      </w:r>
    </w:p>
    <w:p w14:paraId="0214930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3.1.13 《生产安全事故应急条例》中生产经营单位应急准备基本要求、应急救援、法律责任等相关规定。</w:t>
      </w:r>
    </w:p>
    <w:p w14:paraId="54D34F3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3.1.14 《水利工程建设安全生产管理规定》中施工单位安全责任等相关规定。</w:t>
      </w:r>
    </w:p>
    <w:p w14:paraId="5707A1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3.1.15 《工作场所职业卫生管理规定》中用人单位职业卫生培训、工作场所基本要求、职业卫生档案、用人单位法律责任等相关规定。</w:t>
      </w:r>
    </w:p>
    <w:p w14:paraId="5847C8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3.1.16 《生产安全事故应急预案管理办法》中应急预案管理责任和分类、编制的基本要求、事故风险辨识与评估、应急资源调查、应急预案的评审公布备案、应急预案的实施等相关规定。</w:t>
      </w:r>
    </w:p>
    <w:p w14:paraId="6CAB832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3.1.17 《生产经营单位安全培训规定》中安全培训的范围、组织实施、生产经营单位法律责任等相关规定。</w:t>
      </w:r>
    </w:p>
    <w:p w14:paraId="5388B6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3.1.18 《水利行业涉及危险化学品安全风险的品种目录》的具体要求。</w:t>
      </w:r>
    </w:p>
    <w:p w14:paraId="7F708B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3.1.19 《水利安全生产信息报告和处置规则》的具体要求。</w:t>
      </w:r>
    </w:p>
    <w:p w14:paraId="34667A7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3.1.20 《水利水电工程施工企业主要负责人、项目负责人和专职安全生产管理人员安全生产考核管理办法》的具体要求。</w:t>
      </w:r>
    </w:p>
    <w:p w14:paraId="6B23DC1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3.1.21 《企业安全生产费用提取和使用管理办法》中水利水电工程施工企业安全生产费用提取标准、支付和使用范围。</w:t>
      </w:r>
    </w:p>
    <w:p w14:paraId="6A6761E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3.1.22 《用人单位劳动防护用品管理规范》中劳动防护用品的分类、采购、发放、培训、使用、维护、更换及报废。</w:t>
      </w:r>
    </w:p>
    <w:p w14:paraId="774960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3.1.23 《水利部关于进一步加强水利生产安全事故隐患排查治理工作的意见》《水利部办公厅关于印发水利工程生产安全重大事故隐患清单指南（2021年版）的通知》中事故隐患判定工作的主体、重大事故隐患内容、事故隐患整改要求。</w:t>
      </w:r>
    </w:p>
    <w:p w14:paraId="3E7E3D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3.1.24 《水利部关于开展水利安全风险分级管控的指导意见》《水利部办公厅关于印发水利水电工程施工危险源辨识与风险评价导则（试行）的通知》中生产经营单位构建安全风险管控机制要求、危险源辨识与风险等级评价、危险源辨识规定和常用辨识方法以及作业条件危险性评价法（LEC）。</w:t>
      </w:r>
    </w:p>
    <w:p w14:paraId="4A46E7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3.1.25 《水利部关于印发构建水利安全生产风险管控“六项机制”的实施意见的通知》中构建水利安全生产风险管控“六项机制”主要任务。</w:t>
      </w:r>
    </w:p>
    <w:p w14:paraId="179E23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3.1.26 其他有关法规政策的相关规定。</w:t>
      </w:r>
    </w:p>
    <w:p w14:paraId="3EB0A73E">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 安全生产技术</w:t>
      </w:r>
    </w:p>
    <w:p w14:paraId="46E9036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3.2.1 安全警示标志基本知识</w:t>
      </w:r>
    </w:p>
    <w:p w14:paraId="7CC3F4A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3.2.2 水利水电工程施工安全技术基本知识，主要包括下列工程：施工现场布置、土石方工程、模板工程、混凝土工程、起重与运输、脚手架工程、机械安全技术、特种设备安全技术、临时用电工程、施工供水与降排水工程、施工道路与交通、安全防护设施、压力容器、防洪度汛、地基与基础工程、砂石料生产工程、砌石工程、堤防工程、疏浚与吹填工程、机电设备安装工程、水利水电金属结构制作与安装工程等。</w:t>
      </w:r>
    </w:p>
    <w:p w14:paraId="06BE90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3.2.3 水利水电工程施工常见危险作业安全技术基本知识，主要包括下列作业：高边坡与深基坑作业、高空（处）作业、洞室作业、爆破与拆除作业、起重吊装作业、混凝土拌和与浇筑作业、临近带电体作业、焊接与切割作业、水上作业、有（受）限空间作业等。</w:t>
      </w:r>
    </w:p>
    <w:p w14:paraId="0F0ABB2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3.2.4 水利水电工程施工达到或超过一定规模的危险性较大单项工程的安全技术知识。</w:t>
      </w:r>
    </w:p>
    <w:p w14:paraId="16918E5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3.2.5 危险化学品安全技术基本知识。</w:t>
      </w:r>
    </w:p>
    <w:p w14:paraId="469A326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3.2.6 消防安全技术基本知识。</w:t>
      </w:r>
    </w:p>
    <w:p w14:paraId="09D639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3.2.7 职业健康安全技术基本知识。</w:t>
      </w:r>
    </w:p>
    <w:p w14:paraId="6447BB5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3.2.8 常用技术标准参考目录详见附件。</w:t>
      </w:r>
    </w:p>
    <w:p w14:paraId="6D118C95">
      <w:pPr>
        <w:pStyle w:val="3"/>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 安全生产管理能力考试要点</w:t>
      </w:r>
    </w:p>
    <w:p w14:paraId="23DBCC0A">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 安全生产管理基本知识</w:t>
      </w:r>
    </w:p>
    <w:p w14:paraId="686632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4.1.1 安全生产基本概念：安全、安全生产、安全生产管理、企业安全文化、本质安全、风险、危险源、重大危险源、事故隐患、重大事故隐患、事故、全员安全生产责任制、安全生产标准化、安全生产信息化等。</w:t>
      </w:r>
    </w:p>
    <w:p w14:paraId="2D364A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4.1.2 企业安全生产管理基础知识。主要包括：目标职责、制度化管理、教育培训、现场管理、安全风险分级管控及隐患排查治理、“六项机制”、应急管理、事故管理等。</w:t>
      </w:r>
    </w:p>
    <w:p w14:paraId="47A3B12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4.1.3 项目安全生产管理基础知识。主要包括：目标与职责管理、安全生产费用管理、教育培训、施工设备及机具管理、作业环境、安全防护设施管理、安全技术措施与专项施工方案、作业安全管理、安全风险分级管控、事故隐患排查治理、应急管理、分包管理、职业健康、安全生产档案管理等。</w:t>
      </w:r>
    </w:p>
    <w:p w14:paraId="7EB6FC32">
      <w:pPr>
        <w:pStyle w:val="4"/>
        <w:keepNext w:val="0"/>
        <w:keepLines w:val="0"/>
        <w:pageBreakBefore w:val="0"/>
        <w:widowControl w:val="0"/>
        <w:kinsoku/>
        <w:wordWrap/>
        <w:overflowPunct/>
        <w:topLinePunct w:val="0"/>
        <w:autoSpaceDE/>
        <w:autoSpaceDN/>
        <w:bidi w:val="0"/>
        <w:adjustRightInd/>
        <w:snapToGrid w:val="0"/>
        <w:spacing w:beforeLines="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 安全生产管理履职能力</w:t>
      </w:r>
    </w:p>
    <w:p w14:paraId="5CA1E31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4.2.1 政策制度的贯彻落实能力。主要包括相关法律法规政策技术标准的执行、安全生产规章制度和操作规程的制定与实施、全员安全生产责任制和双重预防工作机制的健全与落实、安全技术措施和专项施工方案的编制与执行、安全技术交底的监督检查等方面。</w:t>
      </w:r>
    </w:p>
    <w:p w14:paraId="727CA52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4.2.2 安全生产资金的保障能力。主要包括保证安全生产条件所必需的资金投入，安全生产费用提取使用、管理、实施监管等方面。</w:t>
      </w:r>
    </w:p>
    <w:p w14:paraId="0C6025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4.2.3 危险源辨识评估和风险管控能力。主要包括制定危险源辨识管控制度、组织危险源辨识和安全风险评估、建立动态调整风险监控清单、风险监控预警、风险分级管控责任落实和措施等方面。</w:t>
      </w:r>
    </w:p>
    <w:p w14:paraId="2875A24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4.2.4 隐患排查治理能力。主要包括制定隐患排查治理制度、组织排查事故隐患、建立事故隐患清单、落实整改措施以及隐患排查治理情况通报、报告等方面。</w:t>
      </w:r>
    </w:p>
    <w:p w14:paraId="0346F5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4.2.5 应急管理能力。主要包括生产安全事故应急预案的编制评审公布和备案、应急预案的演练评估完善、应急准备、预案实施、应急救援培训等方面。</w:t>
      </w:r>
    </w:p>
    <w:p w14:paraId="5E1D308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4.2.6 事故报告和处置能力。主要包括生产安全事故报告、组织生产安全事故现场保护与抢救工作、配合事故的调查处理、事故统计分析等方面。</w:t>
      </w:r>
    </w:p>
    <w:p w14:paraId="0DF8EB7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4.2.7 安全生产教育培训能力。主要包括在安全生产教育和培训计划的制定与实施、各类人员教育和培训要求、安全生产教育和培训记录等方面。</w:t>
      </w:r>
    </w:p>
    <w:p w14:paraId="049B2F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附表：常用技术标准参考目录</w:t>
      </w:r>
    </w:p>
    <w:p w14:paraId="2844CC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A8EBB0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ABC88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6F7AAC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43925D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665E8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5A991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53542C9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947025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4A0652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073072F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4111B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538C15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66DC6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6D2039D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B762F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1154E61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25920C26">
      <w:pPr>
        <w:pStyle w:val="5"/>
        <w:keepNext w:val="0"/>
        <w:keepLines w:val="0"/>
        <w:pageBreakBefore w:val="0"/>
        <w:numPr>
          <w:ilvl w:val="0"/>
          <w:numId w:val="0"/>
        </w:numPr>
        <w:kinsoku/>
        <w:overflowPunct/>
        <w:topLinePunct w:val="0"/>
        <w:autoSpaceDE/>
        <w:autoSpaceDN/>
        <w:bidi w:val="0"/>
        <w:snapToGrid/>
        <w:spacing w:line="240" w:lineRule="auto"/>
        <w:ind w:left="0"/>
        <w:jc w:val="center"/>
        <w:outlineLvl w:val="9"/>
        <w:rPr>
          <w:rFonts w:hint="eastAsia" w:ascii="方正小标宋简体" w:hAnsi="方正小标宋简体" w:eastAsia="方正小标宋简体" w:cs="方正小标宋简体"/>
          <w:b w:val="0"/>
          <w:bCs w:val="0"/>
          <w:color w:val="auto"/>
          <w:kern w:val="0"/>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常用技术标准参考目录</w:t>
      </w:r>
    </w:p>
    <w:tbl>
      <w:tblPr>
        <w:tblStyle w:val="7"/>
        <w:tblpPr w:leftFromText="180" w:rightFromText="180" w:vertAnchor="text" w:horzAnchor="page" w:tblpX="1660" w:tblpY="191"/>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6172"/>
        <w:gridCol w:w="1943"/>
      </w:tblGrid>
      <w:tr w14:paraId="39C0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5B83000A">
            <w:pPr>
              <w:jc w:val="center"/>
              <w:rPr>
                <w:rFonts w:hint="eastAsia" w:ascii="仿宋_GB2312" w:hAnsi="Times New Roman" w:eastAsia="仿宋_GB2312" w:cs="Times New Roman"/>
                <w:b/>
                <w:color w:val="auto"/>
                <w:sz w:val="21"/>
                <w:szCs w:val="21"/>
                <w:highlight w:val="none"/>
              </w:rPr>
            </w:pPr>
            <w:r>
              <w:rPr>
                <w:rFonts w:hint="eastAsia" w:ascii="仿宋_GB2312" w:hAnsi="Times New Roman" w:eastAsia="仿宋_GB2312" w:cs="Times New Roman"/>
                <w:b/>
                <w:color w:val="auto"/>
                <w:sz w:val="21"/>
                <w:szCs w:val="21"/>
                <w:highlight w:val="none"/>
              </w:rPr>
              <w:t>序号</w:t>
            </w:r>
          </w:p>
        </w:tc>
        <w:tc>
          <w:tcPr>
            <w:tcW w:w="3406" w:type="pct"/>
            <w:noWrap w:val="0"/>
            <w:vAlign w:val="top"/>
          </w:tcPr>
          <w:p w14:paraId="75FF9F73">
            <w:pPr>
              <w:jc w:val="center"/>
              <w:rPr>
                <w:rFonts w:hint="eastAsia" w:ascii="仿宋_GB2312" w:hAnsi="Times New Roman" w:eastAsia="仿宋_GB2312" w:cs="Times New Roman"/>
                <w:b/>
                <w:color w:val="auto"/>
                <w:sz w:val="21"/>
                <w:szCs w:val="21"/>
                <w:highlight w:val="none"/>
                <w:lang w:eastAsia="zh-CN"/>
              </w:rPr>
            </w:pPr>
            <w:r>
              <w:rPr>
                <w:rFonts w:hint="eastAsia" w:ascii="仿宋_GB2312" w:hAnsi="Times New Roman" w:eastAsia="仿宋_GB2312" w:cs="Times New Roman"/>
                <w:b/>
                <w:color w:val="auto"/>
                <w:sz w:val="21"/>
                <w:szCs w:val="21"/>
                <w:highlight w:val="none"/>
                <w:lang w:eastAsia="zh-CN"/>
              </w:rPr>
              <w:t>技术标准名称</w:t>
            </w:r>
          </w:p>
        </w:tc>
        <w:tc>
          <w:tcPr>
            <w:tcW w:w="1072" w:type="pct"/>
            <w:noWrap w:val="0"/>
            <w:vAlign w:val="top"/>
          </w:tcPr>
          <w:p w14:paraId="644BB2E4">
            <w:pPr>
              <w:jc w:val="center"/>
              <w:rPr>
                <w:rFonts w:hint="eastAsia" w:ascii="仿宋_GB2312" w:hAnsi="Times New Roman" w:eastAsia="仿宋_GB2312" w:cs="Times New Roman"/>
                <w:b/>
                <w:color w:val="auto"/>
                <w:sz w:val="21"/>
                <w:szCs w:val="21"/>
                <w:highlight w:val="none"/>
                <w:lang w:eastAsia="zh-CN"/>
              </w:rPr>
            </w:pPr>
            <w:r>
              <w:rPr>
                <w:rFonts w:hint="eastAsia" w:ascii="仿宋_GB2312" w:hAnsi="Times New Roman" w:eastAsia="仿宋_GB2312" w:cs="Times New Roman"/>
                <w:b/>
                <w:color w:val="auto"/>
                <w:sz w:val="21"/>
                <w:szCs w:val="21"/>
                <w:highlight w:val="none"/>
                <w:lang w:eastAsia="zh-CN"/>
              </w:rPr>
              <w:t>技术标准编号</w:t>
            </w:r>
          </w:p>
        </w:tc>
      </w:tr>
      <w:tr w14:paraId="2AA5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411FBAE0">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w:t>
            </w:r>
          </w:p>
        </w:tc>
        <w:tc>
          <w:tcPr>
            <w:tcW w:w="3406" w:type="pct"/>
            <w:noWrap w:val="0"/>
            <w:vAlign w:val="top"/>
          </w:tcPr>
          <w:p w14:paraId="1A250D6B">
            <w:pPr>
              <w:jc w:val="left"/>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lang w:eastAsia="zh-CN"/>
              </w:rPr>
              <w:t>《头部防护</w:t>
            </w:r>
            <w:r>
              <w:rPr>
                <w:rFonts w:hint="eastAsia" w:ascii="仿宋_GB2312" w:hAnsi="Times New Roman" w:eastAsia="仿宋_GB2312" w:cs="Times New Roman"/>
                <w:color w:val="auto"/>
                <w:sz w:val="21"/>
                <w:szCs w:val="21"/>
                <w:highlight w:val="none"/>
                <w:lang w:val="en-US" w:eastAsia="zh-CN"/>
              </w:rPr>
              <w:t xml:space="preserve"> 安全帽》</w:t>
            </w:r>
          </w:p>
        </w:tc>
        <w:tc>
          <w:tcPr>
            <w:tcW w:w="1072" w:type="pct"/>
            <w:noWrap w:val="0"/>
            <w:vAlign w:val="top"/>
          </w:tcPr>
          <w:p w14:paraId="2F895A02">
            <w:pPr>
              <w:jc w:val="left"/>
              <w:rPr>
                <w:rFonts w:hint="default" w:ascii="仿宋_GB2312" w:hAnsi="Times New Roman" w:eastAsia="仿宋_GB2312" w:cs="Times New Roman"/>
                <w:color w:val="auto"/>
                <w:sz w:val="21"/>
                <w:szCs w:val="21"/>
                <w:highlight w:val="none"/>
                <w:lang w:val="en-US" w:eastAsia="zh-CN"/>
              </w:rPr>
            </w:pPr>
            <w:r>
              <w:rPr>
                <w:rFonts w:hint="eastAsia" w:ascii="仿宋_GB2312" w:hAnsi="Times New Roman" w:eastAsia="仿宋_GB2312" w:cs="Times New Roman"/>
                <w:color w:val="auto"/>
                <w:sz w:val="21"/>
                <w:szCs w:val="21"/>
                <w:highlight w:val="none"/>
              </w:rPr>
              <w:t>GB 28</w:t>
            </w:r>
            <w:r>
              <w:rPr>
                <w:rFonts w:hint="eastAsia" w:ascii="仿宋_GB2312" w:hAnsi="Times New Roman" w:eastAsia="仿宋_GB2312" w:cs="Times New Roman"/>
                <w:color w:val="auto"/>
                <w:sz w:val="21"/>
                <w:szCs w:val="21"/>
                <w:highlight w:val="none"/>
                <w:lang w:val="en-US" w:eastAsia="zh-CN"/>
              </w:rPr>
              <w:t>11</w:t>
            </w:r>
          </w:p>
        </w:tc>
      </w:tr>
      <w:tr w14:paraId="6590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1C3F87EA">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p>
        </w:tc>
        <w:tc>
          <w:tcPr>
            <w:tcW w:w="3406" w:type="pct"/>
            <w:noWrap w:val="0"/>
            <w:vAlign w:val="top"/>
          </w:tcPr>
          <w:p w14:paraId="71EEA24F">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《安全色》</w:t>
            </w:r>
          </w:p>
        </w:tc>
        <w:tc>
          <w:tcPr>
            <w:tcW w:w="1072" w:type="pct"/>
            <w:noWrap w:val="0"/>
            <w:vAlign w:val="top"/>
          </w:tcPr>
          <w:p w14:paraId="15251216">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2893</w:t>
            </w:r>
          </w:p>
        </w:tc>
      </w:tr>
      <w:tr w14:paraId="007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17D40471">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3</w:t>
            </w:r>
          </w:p>
        </w:tc>
        <w:tc>
          <w:tcPr>
            <w:tcW w:w="3406" w:type="pct"/>
            <w:noWrap w:val="0"/>
            <w:vAlign w:val="top"/>
          </w:tcPr>
          <w:p w14:paraId="1FF423F9">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《安全标志及其使用导则》</w:t>
            </w:r>
          </w:p>
        </w:tc>
        <w:tc>
          <w:tcPr>
            <w:tcW w:w="1072" w:type="pct"/>
            <w:noWrap w:val="0"/>
            <w:vAlign w:val="top"/>
          </w:tcPr>
          <w:p w14:paraId="6D569349">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2894</w:t>
            </w:r>
          </w:p>
        </w:tc>
      </w:tr>
      <w:tr w14:paraId="2A90F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76CC20CF">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4</w:t>
            </w:r>
          </w:p>
        </w:tc>
        <w:tc>
          <w:tcPr>
            <w:tcW w:w="3406" w:type="pct"/>
            <w:noWrap w:val="0"/>
            <w:vAlign w:val="top"/>
          </w:tcPr>
          <w:p w14:paraId="715D1335">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《道路交通标志和标线 第1部分：总则》</w:t>
            </w:r>
          </w:p>
        </w:tc>
        <w:tc>
          <w:tcPr>
            <w:tcW w:w="1072" w:type="pct"/>
            <w:noWrap w:val="0"/>
            <w:vAlign w:val="top"/>
          </w:tcPr>
          <w:p w14:paraId="35176340">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5768.1</w:t>
            </w:r>
          </w:p>
        </w:tc>
      </w:tr>
      <w:tr w14:paraId="3570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58C83FF7">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5</w:t>
            </w:r>
          </w:p>
        </w:tc>
        <w:tc>
          <w:tcPr>
            <w:tcW w:w="3406" w:type="pct"/>
            <w:noWrap w:val="0"/>
            <w:vAlign w:val="top"/>
          </w:tcPr>
          <w:p w14:paraId="6607ED14">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w:t>
            </w:r>
            <w:r>
              <w:rPr>
                <w:rFonts w:hint="eastAsia" w:ascii="仿宋_GB2312" w:eastAsia="仿宋_GB2312" w:cs="Times New Roman"/>
                <w:color w:val="auto"/>
                <w:kern w:val="2"/>
                <w:sz w:val="21"/>
                <w:szCs w:val="21"/>
                <w:highlight w:val="none"/>
                <w:lang w:val="en" w:eastAsia="zh-CN" w:bidi="ar-SA"/>
              </w:rPr>
              <w:t>起</w:t>
            </w:r>
            <w:r>
              <w:rPr>
                <w:rFonts w:hint="eastAsia" w:ascii="仿宋_GB2312" w:hAnsi="Times New Roman" w:eastAsia="仿宋_GB2312" w:cs="Times New Roman"/>
                <w:color w:val="auto"/>
                <w:kern w:val="2"/>
                <w:sz w:val="21"/>
                <w:szCs w:val="21"/>
                <w:highlight w:val="none"/>
                <w:lang w:val="en-US" w:eastAsia="zh-CN" w:bidi="ar-SA"/>
              </w:rPr>
              <w:t>重机械安全规程</w:t>
            </w:r>
            <w:r>
              <w:rPr>
                <w:rFonts w:hint="eastAsia" w:ascii="仿宋_GB2312" w:hAnsi="Times New Roman" w:eastAsia="仿宋_GB2312" w:cs="Times New Roman"/>
                <w:color w:val="auto"/>
                <w:sz w:val="21"/>
                <w:szCs w:val="21"/>
                <w:highlight w:val="none"/>
              </w:rPr>
              <w:t xml:space="preserve"> 第1部分：总则》</w:t>
            </w:r>
          </w:p>
        </w:tc>
        <w:tc>
          <w:tcPr>
            <w:tcW w:w="1072" w:type="pct"/>
            <w:noWrap w:val="0"/>
            <w:vAlign w:val="top"/>
          </w:tcPr>
          <w:p w14:paraId="5B09368D">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 xml:space="preserve">GB </w:t>
            </w:r>
            <w:r>
              <w:rPr>
                <w:rFonts w:hint="eastAsia" w:ascii="仿宋_GB2312" w:hAnsi="Times New Roman" w:eastAsia="仿宋_GB2312" w:cs="Times New Roman"/>
                <w:color w:val="auto"/>
                <w:sz w:val="21"/>
                <w:szCs w:val="21"/>
                <w:highlight w:val="none"/>
                <w:lang w:val="en-US" w:eastAsia="zh-CN"/>
              </w:rPr>
              <w:t>6067</w:t>
            </w:r>
            <w:r>
              <w:rPr>
                <w:rFonts w:hint="eastAsia" w:ascii="仿宋_GB2312" w:hAnsi="Times New Roman" w:eastAsia="仿宋_GB2312" w:cs="Times New Roman"/>
                <w:color w:val="auto"/>
                <w:sz w:val="21"/>
                <w:szCs w:val="21"/>
                <w:highlight w:val="none"/>
              </w:rPr>
              <w:t>.1</w:t>
            </w:r>
          </w:p>
        </w:tc>
      </w:tr>
      <w:tr w14:paraId="6596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058DA30A">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6</w:t>
            </w:r>
          </w:p>
        </w:tc>
        <w:tc>
          <w:tcPr>
            <w:tcW w:w="3406" w:type="pct"/>
            <w:noWrap w:val="0"/>
            <w:vAlign w:val="top"/>
          </w:tcPr>
          <w:p w14:paraId="64699CAB">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kern w:val="2"/>
                <w:sz w:val="21"/>
                <w:szCs w:val="21"/>
                <w:highlight w:val="none"/>
                <w:lang w:val="en-US" w:eastAsia="zh-CN" w:bidi="ar-SA"/>
              </w:rPr>
              <w:t>《安全带》</w:t>
            </w:r>
          </w:p>
        </w:tc>
        <w:tc>
          <w:tcPr>
            <w:tcW w:w="1072" w:type="pct"/>
            <w:noWrap w:val="0"/>
            <w:vAlign w:val="top"/>
          </w:tcPr>
          <w:p w14:paraId="1BE28D48">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 xml:space="preserve">GB </w:t>
            </w:r>
            <w:r>
              <w:rPr>
                <w:rFonts w:hint="eastAsia" w:ascii="仿宋_GB2312" w:hAnsi="Times New Roman" w:eastAsia="仿宋_GB2312" w:cs="Times New Roman"/>
                <w:color w:val="auto"/>
                <w:sz w:val="21"/>
                <w:szCs w:val="21"/>
                <w:highlight w:val="none"/>
                <w:lang w:val="en-US" w:eastAsia="zh-CN"/>
              </w:rPr>
              <w:t>6095</w:t>
            </w:r>
          </w:p>
        </w:tc>
      </w:tr>
      <w:tr w14:paraId="3A5F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27E95298">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7</w:t>
            </w:r>
          </w:p>
        </w:tc>
        <w:tc>
          <w:tcPr>
            <w:tcW w:w="3406" w:type="pct"/>
            <w:noWrap w:val="0"/>
            <w:vAlign w:val="top"/>
          </w:tcPr>
          <w:p w14:paraId="0BE501E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《爆破安全规程》</w:t>
            </w:r>
          </w:p>
        </w:tc>
        <w:tc>
          <w:tcPr>
            <w:tcW w:w="1072" w:type="pct"/>
            <w:noWrap w:val="0"/>
            <w:vAlign w:val="top"/>
          </w:tcPr>
          <w:p w14:paraId="54F2FFA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6722</w:t>
            </w:r>
          </w:p>
        </w:tc>
      </w:tr>
      <w:tr w14:paraId="32F4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39B72349">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8</w:t>
            </w:r>
          </w:p>
        </w:tc>
        <w:tc>
          <w:tcPr>
            <w:tcW w:w="3406" w:type="pct"/>
            <w:noWrap w:val="0"/>
            <w:vAlign w:val="top"/>
          </w:tcPr>
          <w:p w14:paraId="498DCC22">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《缺氧危险作业安全规程》</w:t>
            </w:r>
          </w:p>
        </w:tc>
        <w:tc>
          <w:tcPr>
            <w:tcW w:w="1072" w:type="pct"/>
            <w:noWrap w:val="0"/>
            <w:vAlign w:val="top"/>
          </w:tcPr>
          <w:p w14:paraId="03836976">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8958</w:t>
            </w:r>
          </w:p>
        </w:tc>
      </w:tr>
      <w:tr w14:paraId="3095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21" w:type="pct"/>
            <w:noWrap w:val="0"/>
            <w:vAlign w:val="top"/>
          </w:tcPr>
          <w:p w14:paraId="452BD635">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9</w:t>
            </w:r>
          </w:p>
        </w:tc>
        <w:tc>
          <w:tcPr>
            <w:tcW w:w="3406" w:type="pct"/>
            <w:noWrap w:val="0"/>
            <w:vAlign w:val="top"/>
          </w:tcPr>
          <w:p w14:paraId="16A9155E">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《消防安全标志 第1部分：标志》</w:t>
            </w:r>
          </w:p>
        </w:tc>
        <w:tc>
          <w:tcPr>
            <w:tcW w:w="1072" w:type="pct"/>
            <w:noWrap w:val="0"/>
            <w:vAlign w:val="top"/>
          </w:tcPr>
          <w:p w14:paraId="3B5070B4">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13495.1</w:t>
            </w:r>
          </w:p>
        </w:tc>
      </w:tr>
      <w:tr w14:paraId="56A5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5468455F">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10</w:t>
            </w:r>
          </w:p>
        </w:tc>
        <w:tc>
          <w:tcPr>
            <w:tcW w:w="3406" w:type="pct"/>
            <w:noWrap w:val="0"/>
            <w:vAlign w:val="top"/>
          </w:tcPr>
          <w:p w14:paraId="07D29E4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《常用化学危险品贮存通则》</w:t>
            </w:r>
          </w:p>
        </w:tc>
        <w:tc>
          <w:tcPr>
            <w:tcW w:w="1072" w:type="pct"/>
            <w:noWrap w:val="0"/>
            <w:vAlign w:val="top"/>
          </w:tcPr>
          <w:p w14:paraId="50491EBE">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15603</w:t>
            </w:r>
          </w:p>
        </w:tc>
      </w:tr>
      <w:tr w14:paraId="20E9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1F5F9894">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11</w:t>
            </w:r>
          </w:p>
        </w:tc>
        <w:tc>
          <w:tcPr>
            <w:tcW w:w="3406" w:type="pct"/>
            <w:noWrap w:val="0"/>
            <w:vAlign w:val="top"/>
          </w:tcPr>
          <w:p w14:paraId="3BA0286B">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《消防安全标志设置要求》</w:t>
            </w:r>
          </w:p>
        </w:tc>
        <w:tc>
          <w:tcPr>
            <w:tcW w:w="1072" w:type="pct"/>
            <w:noWrap w:val="0"/>
            <w:vAlign w:val="top"/>
          </w:tcPr>
          <w:p w14:paraId="1FAECC0F">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15630</w:t>
            </w:r>
          </w:p>
        </w:tc>
      </w:tr>
      <w:tr w14:paraId="5952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727A7F94">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12</w:t>
            </w:r>
          </w:p>
        </w:tc>
        <w:tc>
          <w:tcPr>
            <w:tcW w:w="3406" w:type="pct"/>
            <w:noWrap w:val="0"/>
            <w:vAlign w:val="top"/>
          </w:tcPr>
          <w:p w14:paraId="02CFF1B8">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《建设工程施工现场供用电安全规范》</w:t>
            </w:r>
          </w:p>
        </w:tc>
        <w:tc>
          <w:tcPr>
            <w:tcW w:w="1072" w:type="pct"/>
            <w:noWrap w:val="0"/>
            <w:vAlign w:val="top"/>
          </w:tcPr>
          <w:p w14:paraId="35BC8F2F">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50194</w:t>
            </w:r>
          </w:p>
        </w:tc>
      </w:tr>
      <w:tr w14:paraId="00C0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7C838587">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13</w:t>
            </w:r>
          </w:p>
        </w:tc>
        <w:tc>
          <w:tcPr>
            <w:tcW w:w="3406" w:type="pct"/>
            <w:noWrap w:val="0"/>
            <w:vAlign w:val="top"/>
          </w:tcPr>
          <w:p w14:paraId="73FCF61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《建筑边坡工程技术规范》</w:t>
            </w:r>
          </w:p>
        </w:tc>
        <w:tc>
          <w:tcPr>
            <w:tcW w:w="1072" w:type="pct"/>
            <w:noWrap w:val="0"/>
            <w:vAlign w:val="top"/>
          </w:tcPr>
          <w:p w14:paraId="10D50312">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50330</w:t>
            </w:r>
          </w:p>
        </w:tc>
      </w:tr>
      <w:tr w14:paraId="595F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1C5778AF">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14</w:t>
            </w:r>
          </w:p>
        </w:tc>
        <w:tc>
          <w:tcPr>
            <w:tcW w:w="3406" w:type="pct"/>
            <w:noWrap w:val="0"/>
            <w:vAlign w:val="top"/>
          </w:tcPr>
          <w:p w14:paraId="54562562">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《施工企业安全生产管理规范》</w:t>
            </w:r>
          </w:p>
        </w:tc>
        <w:tc>
          <w:tcPr>
            <w:tcW w:w="1072" w:type="pct"/>
            <w:noWrap w:val="0"/>
            <w:vAlign w:val="top"/>
          </w:tcPr>
          <w:p w14:paraId="33A972D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w:t>
            </w:r>
            <w:r>
              <w:rPr>
                <w:rFonts w:hint="eastAsia" w:ascii="仿宋_GB2312" w:hAnsi="Times New Roman" w:eastAsia="仿宋_GB2312" w:cs="Times New Roman"/>
                <w:color w:val="auto"/>
                <w:sz w:val="21"/>
                <w:szCs w:val="21"/>
                <w:highlight w:val="none"/>
                <w:lang w:val="en-US" w:eastAsia="zh-CN"/>
              </w:rPr>
              <w:t>656</w:t>
            </w:r>
          </w:p>
        </w:tc>
      </w:tr>
      <w:tr w14:paraId="5311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33738223">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15</w:t>
            </w:r>
          </w:p>
        </w:tc>
        <w:tc>
          <w:tcPr>
            <w:tcW w:w="3406" w:type="pct"/>
            <w:noWrap w:val="0"/>
            <w:vAlign w:val="top"/>
          </w:tcPr>
          <w:p w14:paraId="475EADE5">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《建设工程施工现场消防安全技术规范》</w:t>
            </w:r>
          </w:p>
        </w:tc>
        <w:tc>
          <w:tcPr>
            <w:tcW w:w="1072" w:type="pct"/>
            <w:noWrap w:val="0"/>
            <w:vAlign w:val="top"/>
          </w:tcPr>
          <w:p w14:paraId="127D19B2">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50720</w:t>
            </w:r>
          </w:p>
        </w:tc>
      </w:tr>
      <w:tr w14:paraId="0D896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4DD269A3">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16</w:t>
            </w:r>
          </w:p>
        </w:tc>
        <w:tc>
          <w:tcPr>
            <w:tcW w:w="3406" w:type="pct"/>
            <w:noWrap w:val="0"/>
            <w:vAlign w:val="top"/>
          </w:tcPr>
          <w:p w14:paraId="3AB56856">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《建筑施工脚手架安全技术统一标准》</w:t>
            </w:r>
          </w:p>
        </w:tc>
        <w:tc>
          <w:tcPr>
            <w:tcW w:w="1072" w:type="pct"/>
            <w:noWrap w:val="0"/>
            <w:vAlign w:val="top"/>
          </w:tcPr>
          <w:p w14:paraId="340C4749">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51210</w:t>
            </w:r>
          </w:p>
        </w:tc>
      </w:tr>
      <w:tr w14:paraId="14C4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5627DA1B">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17</w:t>
            </w:r>
          </w:p>
        </w:tc>
        <w:tc>
          <w:tcPr>
            <w:tcW w:w="3406" w:type="pct"/>
            <w:noWrap w:val="0"/>
            <w:vAlign w:val="top"/>
          </w:tcPr>
          <w:p w14:paraId="444A4FF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《施工脚手架通用规范》</w:t>
            </w:r>
          </w:p>
        </w:tc>
        <w:tc>
          <w:tcPr>
            <w:tcW w:w="1072" w:type="pct"/>
            <w:noWrap w:val="0"/>
            <w:vAlign w:val="top"/>
          </w:tcPr>
          <w:p w14:paraId="3E08E5AE">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 5</w:t>
            </w:r>
            <w:r>
              <w:rPr>
                <w:rFonts w:hint="eastAsia" w:ascii="仿宋_GB2312" w:hAnsi="Times New Roman" w:eastAsia="仿宋_GB2312" w:cs="Times New Roman"/>
                <w:color w:val="auto"/>
                <w:sz w:val="21"/>
                <w:szCs w:val="21"/>
                <w:highlight w:val="none"/>
                <w:lang w:val="en-US" w:eastAsia="zh-CN"/>
              </w:rPr>
              <w:t>5023</w:t>
            </w:r>
          </w:p>
        </w:tc>
      </w:tr>
      <w:tr w14:paraId="2409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6E6EC651">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18</w:t>
            </w:r>
          </w:p>
        </w:tc>
        <w:tc>
          <w:tcPr>
            <w:tcW w:w="3406" w:type="pct"/>
            <w:noWrap w:val="0"/>
            <w:vAlign w:val="top"/>
          </w:tcPr>
          <w:p w14:paraId="5C170070">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《建筑防火通用规范》</w:t>
            </w:r>
          </w:p>
        </w:tc>
        <w:tc>
          <w:tcPr>
            <w:tcW w:w="1072" w:type="pct"/>
            <w:noWrap w:val="0"/>
            <w:vAlign w:val="top"/>
          </w:tcPr>
          <w:p w14:paraId="7A95CD66">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eastAsia="zh-CN"/>
              </w:rPr>
              <w:t>GB 5</w:t>
            </w:r>
            <w:r>
              <w:rPr>
                <w:rFonts w:hint="eastAsia" w:ascii="仿宋_GB2312" w:hAnsi="Times New Roman" w:eastAsia="仿宋_GB2312" w:cs="Times New Roman"/>
                <w:color w:val="auto"/>
                <w:sz w:val="21"/>
                <w:szCs w:val="21"/>
                <w:highlight w:val="none"/>
                <w:lang w:val="en-US" w:eastAsia="zh-CN"/>
              </w:rPr>
              <w:t>503</w:t>
            </w:r>
            <w:r>
              <w:rPr>
                <w:rFonts w:hint="eastAsia" w:ascii="仿宋_GB2312" w:eastAsia="仿宋_GB2312" w:cs="Times New Roman"/>
                <w:color w:val="auto"/>
                <w:sz w:val="21"/>
                <w:szCs w:val="21"/>
                <w:highlight w:val="none"/>
                <w:lang w:val="en-US" w:eastAsia="zh-CN"/>
              </w:rPr>
              <w:t>7</w:t>
            </w:r>
          </w:p>
        </w:tc>
      </w:tr>
      <w:tr w14:paraId="3CFD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749AEF47">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19</w:t>
            </w:r>
          </w:p>
        </w:tc>
        <w:tc>
          <w:tcPr>
            <w:tcW w:w="3406" w:type="pct"/>
            <w:noWrap w:val="0"/>
            <w:vAlign w:val="top"/>
          </w:tcPr>
          <w:p w14:paraId="36143C9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《工作场所职业病危害警示标识》</w:t>
            </w:r>
          </w:p>
        </w:tc>
        <w:tc>
          <w:tcPr>
            <w:tcW w:w="1072" w:type="pct"/>
            <w:noWrap w:val="0"/>
            <w:vAlign w:val="top"/>
          </w:tcPr>
          <w:p w14:paraId="3465AD2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GBZ 158</w:t>
            </w:r>
          </w:p>
        </w:tc>
      </w:tr>
      <w:tr w14:paraId="6593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61FADDD3">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20</w:t>
            </w:r>
          </w:p>
        </w:tc>
        <w:tc>
          <w:tcPr>
            <w:tcW w:w="3406" w:type="pct"/>
            <w:noWrap w:val="0"/>
            <w:vAlign w:val="top"/>
          </w:tcPr>
          <w:p w14:paraId="6C384348">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《职业健康监护技术规范》</w:t>
            </w:r>
          </w:p>
        </w:tc>
        <w:tc>
          <w:tcPr>
            <w:tcW w:w="1072" w:type="pct"/>
            <w:noWrap w:val="0"/>
            <w:vAlign w:val="top"/>
          </w:tcPr>
          <w:p w14:paraId="7D45432C">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GBZ 188</w:t>
            </w:r>
          </w:p>
        </w:tc>
      </w:tr>
      <w:tr w14:paraId="2A15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442D42DE">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21</w:t>
            </w:r>
          </w:p>
        </w:tc>
        <w:tc>
          <w:tcPr>
            <w:tcW w:w="3406" w:type="pct"/>
            <w:noWrap w:val="0"/>
            <w:vAlign w:val="top"/>
          </w:tcPr>
          <w:p w14:paraId="0DF6564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《水工建筑物滑动模板施工技术规范》</w:t>
            </w:r>
          </w:p>
        </w:tc>
        <w:tc>
          <w:tcPr>
            <w:tcW w:w="1072" w:type="pct"/>
            <w:noWrap w:val="0"/>
            <w:vAlign w:val="top"/>
          </w:tcPr>
          <w:p w14:paraId="4C00AA57">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32</w:t>
            </w:r>
          </w:p>
        </w:tc>
      </w:tr>
      <w:tr w14:paraId="2A5F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296617CC">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22</w:t>
            </w:r>
          </w:p>
        </w:tc>
        <w:tc>
          <w:tcPr>
            <w:tcW w:w="3406" w:type="pct"/>
            <w:noWrap w:val="0"/>
            <w:vAlign w:val="top"/>
          </w:tcPr>
          <w:p w14:paraId="48AA3A31">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《水利水电建设用缆索起重机技术条件》</w:t>
            </w:r>
          </w:p>
        </w:tc>
        <w:tc>
          <w:tcPr>
            <w:tcW w:w="1072" w:type="pct"/>
            <w:noWrap w:val="0"/>
            <w:vAlign w:val="top"/>
          </w:tcPr>
          <w:p w14:paraId="526458DD">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SL 375</w:t>
            </w:r>
          </w:p>
        </w:tc>
      </w:tr>
      <w:tr w14:paraId="47F9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2FD9DC8D">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23</w:t>
            </w:r>
          </w:p>
        </w:tc>
        <w:tc>
          <w:tcPr>
            <w:tcW w:w="3406" w:type="pct"/>
            <w:noWrap w:val="0"/>
            <w:vAlign w:val="top"/>
          </w:tcPr>
          <w:p w14:paraId="1F4A6937">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《水工建筑物地下开挖工程施工规范》</w:t>
            </w:r>
          </w:p>
        </w:tc>
        <w:tc>
          <w:tcPr>
            <w:tcW w:w="1072" w:type="pct"/>
            <w:noWrap w:val="0"/>
            <w:vAlign w:val="top"/>
          </w:tcPr>
          <w:p w14:paraId="3CAF57B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378</w:t>
            </w:r>
          </w:p>
        </w:tc>
      </w:tr>
      <w:tr w14:paraId="1D7D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2FBE84C5">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24</w:t>
            </w:r>
          </w:p>
        </w:tc>
        <w:tc>
          <w:tcPr>
            <w:tcW w:w="3406" w:type="pct"/>
            <w:noWrap w:val="0"/>
            <w:vAlign w:val="top"/>
          </w:tcPr>
          <w:p w14:paraId="0167718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《水利水电工程施工通用安全技术规程》</w:t>
            </w:r>
          </w:p>
        </w:tc>
        <w:tc>
          <w:tcPr>
            <w:tcW w:w="1072" w:type="pct"/>
            <w:noWrap w:val="0"/>
            <w:vAlign w:val="top"/>
          </w:tcPr>
          <w:p w14:paraId="738F7FCB">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398</w:t>
            </w:r>
          </w:p>
        </w:tc>
      </w:tr>
      <w:tr w14:paraId="0882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56807FDD">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25</w:t>
            </w:r>
          </w:p>
        </w:tc>
        <w:tc>
          <w:tcPr>
            <w:tcW w:w="3406" w:type="pct"/>
            <w:noWrap w:val="0"/>
            <w:vAlign w:val="top"/>
          </w:tcPr>
          <w:p w14:paraId="2686CD6B">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《水利水电工程土建施工安全技术规程》</w:t>
            </w:r>
          </w:p>
        </w:tc>
        <w:tc>
          <w:tcPr>
            <w:tcW w:w="1072" w:type="pct"/>
            <w:noWrap w:val="0"/>
            <w:vAlign w:val="top"/>
          </w:tcPr>
          <w:p w14:paraId="248BD7AF">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399</w:t>
            </w:r>
          </w:p>
        </w:tc>
      </w:tr>
      <w:tr w14:paraId="121D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01EDEB67">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6</w:t>
            </w:r>
          </w:p>
        </w:tc>
        <w:tc>
          <w:tcPr>
            <w:tcW w:w="3406" w:type="pct"/>
            <w:noWrap w:val="0"/>
            <w:vAlign w:val="top"/>
          </w:tcPr>
          <w:p w14:paraId="3D3CAA57">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《水利水电工程机电设备安装安全技术规程》</w:t>
            </w:r>
          </w:p>
        </w:tc>
        <w:tc>
          <w:tcPr>
            <w:tcW w:w="1072" w:type="pct"/>
            <w:noWrap w:val="0"/>
            <w:vAlign w:val="top"/>
          </w:tcPr>
          <w:p w14:paraId="52C552EA">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400</w:t>
            </w:r>
          </w:p>
        </w:tc>
      </w:tr>
      <w:tr w14:paraId="50D3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783971D0">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7</w:t>
            </w:r>
          </w:p>
        </w:tc>
        <w:tc>
          <w:tcPr>
            <w:tcW w:w="3406" w:type="pct"/>
            <w:noWrap w:val="0"/>
            <w:vAlign w:val="top"/>
          </w:tcPr>
          <w:p w14:paraId="3B106C97">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《水利水电工程施工作业人员安全操作规程》</w:t>
            </w:r>
          </w:p>
        </w:tc>
        <w:tc>
          <w:tcPr>
            <w:tcW w:w="1072" w:type="pct"/>
            <w:noWrap w:val="0"/>
            <w:vAlign w:val="top"/>
          </w:tcPr>
          <w:p w14:paraId="0EEA5727">
            <w:pPr>
              <w:jc w:val="left"/>
              <w:rPr>
                <w:rFonts w:hint="default"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401</w:t>
            </w:r>
          </w:p>
        </w:tc>
      </w:tr>
      <w:tr w14:paraId="1446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33B5607D">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2</w:t>
            </w:r>
            <w:r>
              <w:rPr>
                <w:rFonts w:hint="eastAsia" w:ascii="仿宋_GB2312" w:eastAsia="仿宋_GB2312" w:cs="Times New Roman"/>
                <w:color w:val="auto"/>
                <w:sz w:val="21"/>
                <w:szCs w:val="21"/>
                <w:highlight w:val="none"/>
                <w:lang w:val="en-US" w:eastAsia="zh-CN"/>
              </w:rPr>
              <w:t>8</w:t>
            </w:r>
          </w:p>
        </w:tc>
        <w:tc>
          <w:tcPr>
            <w:tcW w:w="3406" w:type="pct"/>
            <w:noWrap w:val="0"/>
            <w:vAlign w:val="top"/>
          </w:tcPr>
          <w:p w14:paraId="6E614766">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《水利水电工程施工安全防护设施技术规范》</w:t>
            </w:r>
          </w:p>
        </w:tc>
        <w:tc>
          <w:tcPr>
            <w:tcW w:w="1072" w:type="pct"/>
            <w:noWrap w:val="0"/>
            <w:vAlign w:val="top"/>
          </w:tcPr>
          <w:p w14:paraId="19044A51">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714</w:t>
            </w:r>
          </w:p>
        </w:tc>
      </w:tr>
      <w:tr w14:paraId="0968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39FCE8B6">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eastAsia="仿宋_GB2312" w:cs="Times New Roman"/>
                <w:color w:val="auto"/>
                <w:sz w:val="21"/>
                <w:szCs w:val="21"/>
                <w:highlight w:val="none"/>
                <w:lang w:val="en-US" w:eastAsia="zh-CN"/>
              </w:rPr>
              <w:t>29</w:t>
            </w:r>
          </w:p>
        </w:tc>
        <w:tc>
          <w:tcPr>
            <w:tcW w:w="3406" w:type="pct"/>
            <w:noWrap w:val="0"/>
            <w:vAlign w:val="top"/>
          </w:tcPr>
          <w:p w14:paraId="3A72C8C7">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《水利水电工程施工安全管理导则》</w:t>
            </w:r>
          </w:p>
        </w:tc>
        <w:tc>
          <w:tcPr>
            <w:tcW w:w="1072" w:type="pct"/>
            <w:noWrap w:val="0"/>
            <w:vAlign w:val="top"/>
          </w:tcPr>
          <w:p w14:paraId="220B3081">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SL 721</w:t>
            </w:r>
          </w:p>
        </w:tc>
      </w:tr>
      <w:tr w14:paraId="636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521" w:type="pct"/>
            <w:noWrap w:val="0"/>
            <w:vAlign w:val="top"/>
          </w:tcPr>
          <w:p w14:paraId="6447CC51">
            <w:pPr>
              <w:jc w:val="center"/>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rPr>
              <w:t>3</w:t>
            </w:r>
            <w:r>
              <w:rPr>
                <w:rFonts w:hint="eastAsia" w:ascii="仿宋_GB2312" w:eastAsia="仿宋_GB2312" w:cs="Times New Roman"/>
                <w:color w:val="auto"/>
                <w:sz w:val="21"/>
                <w:szCs w:val="21"/>
                <w:highlight w:val="none"/>
                <w:lang w:val="en-US" w:eastAsia="zh-CN"/>
              </w:rPr>
              <w:t>0</w:t>
            </w:r>
          </w:p>
        </w:tc>
        <w:tc>
          <w:tcPr>
            <w:tcW w:w="3406" w:type="pct"/>
            <w:noWrap w:val="0"/>
            <w:vAlign w:val="top"/>
          </w:tcPr>
          <w:p w14:paraId="25339748">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《水利水电工程金属结构制作与安装安全技术规程》</w:t>
            </w:r>
          </w:p>
        </w:tc>
        <w:tc>
          <w:tcPr>
            <w:tcW w:w="1072" w:type="pct"/>
            <w:noWrap w:val="0"/>
            <w:vAlign w:val="top"/>
          </w:tcPr>
          <w:p w14:paraId="2519ABFC">
            <w:pPr>
              <w:jc w:val="left"/>
              <w:rPr>
                <w:rFonts w:hint="eastAsia" w:ascii="仿宋_GB2312" w:hAnsi="Times New Roman" w:eastAsia="仿宋_GB2312" w:cs="Times New Roman"/>
                <w:color w:val="auto"/>
                <w:kern w:val="2"/>
                <w:sz w:val="21"/>
                <w:szCs w:val="21"/>
                <w:highlight w:val="none"/>
                <w:lang w:val="en-US" w:eastAsia="zh-CN" w:bidi="ar-SA"/>
              </w:rPr>
            </w:pPr>
            <w:r>
              <w:rPr>
                <w:rFonts w:hint="eastAsia" w:ascii="仿宋_GB2312" w:hAnsi="Times New Roman" w:eastAsia="仿宋_GB2312" w:cs="Times New Roman"/>
                <w:color w:val="auto"/>
                <w:sz w:val="21"/>
                <w:szCs w:val="21"/>
                <w:highlight w:val="none"/>
                <w:lang w:val="en-US" w:eastAsia="zh-CN"/>
              </w:rPr>
              <w:t>SL/T 780</w:t>
            </w:r>
          </w:p>
        </w:tc>
      </w:tr>
      <w:tr w14:paraId="3602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21" w:type="pct"/>
            <w:noWrap w:val="0"/>
            <w:vAlign w:val="top"/>
          </w:tcPr>
          <w:p w14:paraId="64CE5514">
            <w:pPr>
              <w:jc w:val="center"/>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hAnsi="Times New Roman" w:eastAsia="仿宋_GB2312" w:cs="Times New Roman"/>
                <w:color w:val="auto"/>
                <w:sz w:val="18"/>
                <w:szCs w:val="18"/>
                <w:highlight w:val="none"/>
              </w:rPr>
              <w:t>3</w:t>
            </w:r>
            <w:r>
              <w:rPr>
                <w:rFonts w:hint="eastAsia" w:ascii="仿宋_GB2312" w:eastAsia="仿宋_GB2312" w:cs="Times New Roman"/>
                <w:color w:val="auto"/>
                <w:sz w:val="18"/>
                <w:szCs w:val="18"/>
                <w:highlight w:val="none"/>
                <w:lang w:val="en-US" w:eastAsia="zh-CN"/>
              </w:rPr>
              <w:t>1</w:t>
            </w:r>
          </w:p>
        </w:tc>
        <w:tc>
          <w:tcPr>
            <w:tcW w:w="3406" w:type="pct"/>
            <w:noWrap w:val="0"/>
            <w:vAlign w:val="top"/>
          </w:tcPr>
          <w:p w14:paraId="43501C02">
            <w:pPr>
              <w:widowControl/>
              <w:jc w:val="left"/>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eastAsia="仿宋_GB2312" w:cs="Times New Roman"/>
                <w:b w:val="0"/>
                <w:i w:val="0"/>
                <w:caps w:val="0"/>
                <w:color w:val="auto"/>
                <w:spacing w:val="0"/>
                <w:kern w:val="2"/>
                <w:sz w:val="18"/>
                <w:szCs w:val="18"/>
                <w:highlight w:val="none"/>
                <w:shd w:val="clear" w:color="auto" w:fill="auto"/>
                <w:lang w:val="en-US" w:eastAsia="zh-CN" w:bidi="ar"/>
              </w:rPr>
              <w:t>《</w:t>
            </w:r>
            <w:r>
              <w:rPr>
                <w:rFonts w:hint="eastAsia" w:ascii="仿宋_GB2312" w:hAnsi="Times New Roman" w:eastAsia="仿宋_GB2312" w:cs="Times New Roman"/>
                <w:b w:val="0"/>
                <w:i w:val="0"/>
                <w:caps w:val="0"/>
                <w:color w:val="auto"/>
                <w:spacing w:val="0"/>
                <w:kern w:val="2"/>
                <w:sz w:val="18"/>
                <w:szCs w:val="18"/>
                <w:highlight w:val="none"/>
                <w:shd w:val="clear" w:color="auto" w:fill="auto"/>
                <w:lang w:val="en-US" w:eastAsia="zh-CN" w:bidi="ar"/>
              </w:rPr>
              <w:t>特种设备使用管理规则</w:t>
            </w:r>
            <w:r>
              <w:rPr>
                <w:rFonts w:hint="eastAsia" w:ascii="仿宋_GB2312" w:eastAsia="仿宋_GB2312" w:cs="Times New Roman"/>
                <w:b w:val="0"/>
                <w:i w:val="0"/>
                <w:caps w:val="0"/>
                <w:color w:val="auto"/>
                <w:spacing w:val="0"/>
                <w:kern w:val="2"/>
                <w:sz w:val="18"/>
                <w:szCs w:val="18"/>
                <w:highlight w:val="none"/>
                <w:shd w:val="clear" w:color="auto" w:fill="auto"/>
                <w:lang w:val="en-US" w:eastAsia="zh-CN" w:bidi="ar"/>
              </w:rPr>
              <w:t>》</w:t>
            </w:r>
          </w:p>
        </w:tc>
        <w:tc>
          <w:tcPr>
            <w:tcW w:w="1072" w:type="pct"/>
            <w:noWrap w:val="0"/>
            <w:vAlign w:val="top"/>
          </w:tcPr>
          <w:p w14:paraId="5C5057CF">
            <w:pPr>
              <w:rPr>
                <w:rFonts w:hint="eastAsia" w:ascii="仿宋_GB2312" w:hAnsi="Times New Roman" w:eastAsia="仿宋_GB2312" w:cs="Times New Roman"/>
                <w:color w:val="auto"/>
                <w:kern w:val="2"/>
                <w:sz w:val="18"/>
                <w:szCs w:val="18"/>
                <w:highlight w:val="none"/>
                <w:lang w:val="en-US" w:eastAsia="zh-CN" w:bidi="ar-SA"/>
              </w:rPr>
            </w:pPr>
            <w:r>
              <w:rPr>
                <w:rFonts w:hint="eastAsia" w:ascii="仿宋_GB2312" w:hAnsi="Times New Roman" w:eastAsia="仿宋_GB2312" w:cs="Times New Roman"/>
                <w:color w:val="auto"/>
                <w:sz w:val="18"/>
                <w:szCs w:val="18"/>
                <w:highlight w:val="none"/>
                <w:lang w:val="en-US" w:eastAsia="zh-CN"/>
              </w:rPr>
              <w:t xml:space="preserve">TSG </w:t>
            </w:r>
            <w:r>
              <w:rPr>
                <w:rFonts w:hint="eastAsia" w:ascii="仿宋_GB2312" w:eastAsia="仿宋_GB2312" w:cs="Times New Roman"/>
                <w:color w:val="auto"/>
                <w:sz w:val="18"/>
                <w:szCs w:val="18"/>
                <w:highlight w:val="none"/>
                <w:lang w:val="en-US" w:eastAsia="zh-CN"/>
              </w:rPr>
              <w:t>08</w:t>
            </w:r>
          </w:p>
        </w:tc>
      </w:tr>
    </w:tbl>
    <w:p w14:paraId="08180CDC">
      <w:pPr>
        <w:pStyle w:val="5"/>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cols w:space="425" w:num="1"/>
          <w:docGrid w:type="lines" w:linePitch="312" w:charSpace="0"/>
        </w:sectPr>
      </w:pPr>
    </w:p>
    <w:p w14:paraId="563DA1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C5E25"/>
    <w:rsid w:val="12EC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Autospacing="0"/>
      <w:ind w:firstLine="0" w:firstLineChars="0"/>
      <w:jc w:val="center"/>
      <w:outlineLvl w:val="0"/>
    </w:pPr>
    <w:rPr>
      <w:rFonts w:hint="eastAsia" w:ascii="方正小标宋简体" w:hAnsi="方正小标宋简体" w:eastAsia="方正小标宋简体" w:cs="方正小标宋简体"/>
      <w:kern w:val="44"/>
      <w:sz w:val="44"/>
      <w:szCs w:val="48"/>
    </w:rPr>
  </w:style>
  <w:style w:type="paragraph" w:styleId="3">
    <w:name w:val="heading 2"/>
    <w:basedOn w:val="1"/>
    <w:next w:val="1"/>
    <w:link w:val="9"/>
    <w:unhideWhenUsed/>
    <w:qFormat/>
    <w:uiPriority w:val="0"/>
    <w:pPr>
      <w:spacing w:line="560" w:lineRule="exact"/>
      <w:outlineLvl w:val="1"/>
    </w:pPr>
    <w:rPr>
      <w:rFonts w:ascii="Times New Roman" w:hAnsi="Times New Roman" w:eastAsia="黑体"/>
      <w:kern w:val="0"/>
      <w:szCs w:val="32"/>
    </w:rPr>
  </w:style>
  <w:style w:type="paragraph" w:styleId="4">
    <w:name w:val="heading 3"/>
    <w:basedOn w:val="1"/>
    <w:next w:val="1"/>
    <w:unhideWhenUsed/>
    <w:qFormat/>
    <w:uiPriority w:val="0"/>
    <w:pPr>
      <w:spacing w:beforeLines="0" w:beforeAutospacing="0" w:afterLines="0" w:afterAutospacing="0" w:line="560" w:lineRule="exact"/>
      <w:outlineLvl w:val="2"/>
    </w:pPr>
    <w:rPr>
      <w:rFonts w:eastAsia="楷体_GB2312" w:cs="楷体_GB231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rPr>
      <w:szCs w:val="21"/>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2 Char"/>
    <w:link w:val="3"/>
    <w:qFormat/>
    <w:uiPriority w:val="0"/>
    <w:rPr>
      <w:rFonts w:ascii="Times New Roman" w:hAnsi="Times New Roman" w:eastAsia="黑体"/>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2026-02-25T01:28:00Z</dcterms:created>
  <dc:creator>yxy</dc:creator>
  <cp:lastModifiedBy>yxy</cp:lastModifiedBy>
  <dcterms:modified xsi:type="dcterms:W3CDTF">2026-02-25T01:29:38Z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9685A68730914410AA3D37AE7E31DD14_11</vt:lpwstr>
  </property>
</Properties>
</file>