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left="-283" w:leftChars="-135" w:firstLine="281" w:firstLineChars="88"/>
        <w:jc w:val="left"/>
        <w:rPr>
          <w:rFonts w:hint="eastAsia" w:ascii="黑体" w:hAnsi="黑体" w:eastAsia="黑体"/>
          <w:bCs/>
          <w:color w:val="000000"/>
          <w:kern w:val="0"/>
          <w:sz w:val="32"/>
          <w:szCs w:val="32"/>
          <w:lang w:val="en-US" w:eastAsia="zh-CN"/>
        </w:rPr>
      </w:pPr>
      <w:r>
        <w:rPr>
          <w:rFonts w:hint="eastAsia" w:ascii="黑体" w:hAnsi="黑体" w:eastAsia="黑体"/>
          <w:bCs/>
          <w:color w:val="000000"/>
          <w:kern w:val="0"/>
          <w:sz w:val="32"/>
          <w:szCs w:val="32"/>
        </w:rPr>
        <w:t>附件</w:t>
      </w:r>
      <w:r>
        <w:rPr>
          <w:rFonts w:hint="eastAsia" w:ascii="黑体" w:hAnsi="黑体" w:eastAsia="黑体"/>
          <w:bCs/>
          <w:color w:val="000000"/>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before="156" w:beforeLines="50" w:line="460" w:lineRule="exact"/>
        <w:ind w:left="0" w:leftChars="0" w:right="0" w:rightChars="0" w:firstLine="0" w:firstLineChars="0"/>
        <w:jc w:val="center"/>
        <w:textAlignment w:val="auto"/>
        <w:outlineLvl w:val="9"/>
        <w:rPr>
          <w:rFonts w:hint="eastAsia" w:ascii="方正小标宋简体" w:hAnsi="宋体" w:eastAsia="方正小标宋简体"/>
          <w:bCs/>
          <w:color w:val="000000"/>
          <w:kern w:val="0"/>
          <w:sz w:val="36"/>
          <w:szCs w:val="36"/>
        </w:rPr>
      </w:pPr>
      <w:bookmarkStart w:id="0" w:name="_GoBack"/>
      <w:r>
        <w:rPr>
          <w:rFonts w:hint="eastAsia" w:ascii="方正小标宋简体" w:hAnsi="宋体" w:eastAsia="方正小标宋简体"/>
          <w:bCs/>
          <w:color w:val="000000"/>
          <w:kern w:val="0"/>
          <w:sz w:val="36"/>
          <w:szCs w:val="36"/>
        </w:rPr>
        <w:t>水利厅落实《</w:t>
      </w:r>
      <w:r>
        <w:rPr>
          <w:rFonts w:hint="eastAsia" w:ascii="方正小标宋简体" w:eastAsia="方正小标宋简体"/>
          <w:bCs/>
          <w:color w:val="000000"/>
          <w:kern w:val="0"/>
          <w:sz w:val="36"/>
          <w:szCs w:val="36"/>
        </w:rPr>
        <w:t>“</w:t>
      </w:r>
      <w:r>
        <w:rPr>
          <w:rFonts w:hint="eastAsia" w:ascii="方正小标宋简体" w:hAnsi="宋体" w:eastAsia="方正小标宋简体"/>
          <w:bCs/>
          <w:color w:val="000000"/>
          <w:kern w:val="0"/>
          <w:sz w:val="36"/>
          <w:szCs w:val="36"/>
        </w:rPr>
        <w:t>十三五</w:t>
      </w:r>
      <w:r>
        <w:rPr>
          <w:rFonts w:hint="eastAsia" w:ascii="方正小标宋简体" w:eastAsia="方正小标宋简体"/>
          <w:bCs/>
          <w:color w:val="000000"/>
          <w:kern w:val="0"/>
          <w:sz w:val="36"/>
          <w:szCs w:val="36"/>
        </w:rPr>
        <w:t>”</w:t>
      </w:r>
      <w:r>
        <w:rPr>
          <w:rFonts w:hint="eastAsia" w:ascii="方正小标宋简体" w:hAnsi="宋体" w:eastAsia="方正小标宋简体"/>
          <w:bCs/>
          <w:color w:val="000000"/>
          <w:kern w:val="0"/>
          <w:sz w:val="36"/>
          <w:szCs w:val="36"/>
        </w:rPr>
        <w:t>实行水资源消耗总量和强度双控行动加快推进节水型社会建设</w:t>
      </w:r>
    </w:p>
    <w:p>
      <w:pPr>
        <w:keepNext w:val="0"/>
        <w:keepLines w:val="0"/>
        <w:pageBreakBefore w:val="0"/>
        <w:widowControl/>
        <w:kinsoku/>
        <w:wordWrap/>
        <w:overflowPunct/>
        <w:topLinePunct w:val="0"/>
        <w:autoSpaceDE/>
        <w:autoSpaceDN/>
        <w:bidi w:val="0"/>
        <w:adjustRightInd/>
        <w:snapToGrid/>
        <w:spacing w:before="156" w:beforeLines="50" w:line="460" w:lineRule="exact"/>
        <w:ind w:left="0" w:leftChars="0" w:right="0" w:rightChars="0" w:firstLine="0" w:firstLineChars="0"/>
        <w:jc w:val="center"/>
        <w:textAlignment w:val="auto"/>
        <w:outlineLvl w:val="9"/>
        <w:rPr>
          <w:rFonts w:ascii="宋体" w:hAnsi="宋体"/>
          <w:b/>
          <w:bCs/>
          <w:color w:val="000000"/>
          <w:kern w:val="0"/>
          <w:sz w:val="22"/>
          <w:szCs w:val="22"/>
        </w:rPr>
      </w:pPr>
      <w:r>
        <w:rPr>
          <w:rFonts w:hint="eastAsia" w:ascii="方正小标宋简体" w:hAnsi="宋体" w:eastAsia="方正小标宋简体"/>
          <w:bCs/>
          <w:color w:val="000000"/>
          <w:kern w:val="0"/>
          <w:sz w:val="36"/>
          <w:szCs w:val="36"/>
        </w:rPr>
        <w:t>实施方案》</w:t>
      </w:r>
      <w:r>
        <w:rPr>
          <w:rFonts w:hint="eastAsia" w:ascii="方正小标宋简体" w:hAnsi="宋体" w:eastAsia="方正小标宋简体"/>
          <w:bCs/>
          <w:color w:val="000000"/>
          <w:kern w:val="0"/>
          <w:sz w:val="36"/>
          <w:szCs w:val="36"/>
          <w:lang w:val="en-US" w:eastAsia="zh-CN"/>
        </w:rPr>
        <w:t>2017年</w:t>
      </w:r>
      <w:r>
        <w:rPr>
          <w:rFonts w:hint="eastAsia" w:ascii="方正小标宋简体" w:hAnsi="宋体" w:eastAsia="方正小标宋简体"/>
          <w:bCs/>
          <w:color w:val="000000"/>
          <w:kern w:val="0"/>
          <w:sz w:val="36"/>
          <w:szCs w:val="36"/>
        </w:rPr>
        <w:t>责任分解表</w:t>
      </w:r>
      <w:r>
        <w:rPr>
          <w:rFonts w:hint="eastAsia" w:ascii="方正小标宋简体" w:hAnsi="宋体" w:eastAsia="方正小标宋简体"/>
          <w:bCs/>
          <w:color w:val="000000"/>
          <w:kern w:val="0"/>
          <w:sz w:val="36"/>
          <w:szCs w:val="36"/>
          <w:lang w:eastAsia="zh-CN"/>
        </w:rPr>
        <w:t>（水利厅配合）</w:t>
      </w:r>
      <w:bookmarkEnd w:id="0"/>
    </w:p>
    <w:tbl>
      <w:tblPr>
        <w:tblStyle w:val="2"/>
        <w:tblpPr w:leftFromText="180" w:rightFromText="180" w:vertAnchor="text" w:horzAnchor="page" w:tblpX="1473"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644"/>
        <w:gridCol w:w="1724"/>
        <w:gridCol w:w="6367"/>
        <w:gridCol w:w="1304"/>
        <w:gridCol w:w="130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blHeader/>
        </w:trPr>
        <w:tc>
          <w:tcPr>
            <w:tcW w:w="477" w:type="dxa"/>
            <w:noWrap w:val="0"/>
            <w:vAlign w:val="center"/>
          </w:tcPr>
          <w:p>
            <w:pPr>
              <w:widowControl/>
              <w:jc w:val="center"/>
              <w:rPr>
                <w:rFonts w:eastAsia="仿宋_GB2312"/>
                <w:kern w:val="0"/>
                <w:sz w:val="22"/>
                <w:szCs w:val="22"/>
                <w:highlight w:val="none"/>
                <w:shd w:val="clear" w:color="auto" w:fill="auto"/>
              </w:rPr>
            </w:pPr>
            <w:r>
              <w:rPr>
                <w:b/>
                <w:bCs/>
                <w:color w:val="000000"/>
                <w:kern w:val="0"/>
                <w:sz w:val="28"/>
                <w:szCs w:val="28"/>
                <w:highlight w:val="none"/>
                <w:shd w:val="clear" w:color="auto" w:fill="auto"/>
              </w:rPr>
              <w:t>序号</w:t>
            </w:r>
          </w:p>
        </w:tc>
        <w:tc>
          <w:tcPr>
            <w:tcW w:w="1644" w:type="dxa"/>
            <w:noWrap w:val="0"/>
            <w:vAlign w:val="center"/>
          </w:tcPr>
          <w:p>
            <w:pPr>
              <w:widowControl/>
              <w:jc w:val="center"/>
              <w:rPr>
                <w:rFonts w:hint="eastAsia" w:eastAsia="仿宋_GB2312" w:cs="宋体"/>
                <w:kern w:val="0"/>
                <w:sz w:val="22"/>
                <w:szCs w:val="22"/>
                <w:highlight w:val="none"/>
                <w:shd w:val="clear" w:color="auto" w:fill="auto"/>
                <w:lang w:eastAsia="zh-CN"/>
              </w:rPr>
            </w:pPr>
            <w:r>
              <w:rPr>
                <w:rFonts w:hint="eastAsia"/>
                <w:b/>
                <w:bCs/>
                <w:color w:val="000000"/>
                <w:kern w:val="0"/>
                <w:sz w:val="28"/>
                <w:szCs w:val="28"/>
                <w:highlight w:val="none"/>
                <w:shd w:val="clear" w:color="auto" w:fill="auto"/>
                <w:lang w:eastAsia="zh-CN"/>
              </w:rPr>
              <w:t>责任厅局</w:t>
            </w:r>
          </w:p>
        </w:tc>
        <w:tc>
          <w:tcPr>
            <w:tcW w:w="8091" w:type="dxa"/>
            <w:gridSpan w:val="2"/>
            <w:noWrap w:val="0"/>
            <w:vAlign w:val="center"/>
          </w:tcPr>
          <w:p>
            <w:pPr>
              <w:widowControl/>
              <w:jc w:val="center"/>
              <w:rPr>
                <w:b/>
                <w:bCs/>
                <w:color w:val="000000"/>
                <w:kern w:val="0"/>
                <w:sz w:val="28"/>
                <w:szCs w:val="28"/>
                <w:highlight w:val="none"/>
                <w:shd w:val="clear" w:color="auto" w:fill="auto"/>
              </w:rPr>
            </w:pPr>
            <w:r>
              <w:rPr>
                <w:b/>
                <w:bCs/>
                <w:color w:val="000000"/>
                <w:kern w:val="0"/>
                <w:sz w:val="28"/>
                <w:szCs w:val="28"/>
                <w:highlight w:val="none"/>
                <w:shd w:val="clear" w:color="auto" w:fill="auto"/>
              </w:rPr>
              <w:t>重点任务</w:t>
            </w:r>
          </w:p>
        </w:tc>
        <w:tc>
          <w:tcPr>
            <w:tcW w:w="1304" w:type="dxa"/>
            <w:noWrap w:val="0"/>
            <w:vAlign w:val="center"/>
          </w:tcPr>
          <w:p>
            <w:pPr>
              <w:widowControl/>
              <w:jc w:val="center"/>
              <w:rPr>
                <w:rFonts w:hint="eastAsia" w:eastAsia="仿宋_GB2312"/>
                <w:kern w:val="0"/>
                <w:sz w:val="22"/>
                <w:szCs w:val="22"/>
                <w:highlight w:val="none"/>
                <w:shd w:val="clear" w:color="auto" w:fill="auto"/>
              </w:rPr>
            </w:pPr>
            <w:r>
              <w:rPr>
                <w:rFonts w:hint="eastAsia" w:ascii="宋体" w:hAnsi="宋体"/>
                <w:b/>
                <w:bCs/>
                <w:color w:val="000000"/>
                <w:kern w:val="0"/>
                <w:sz w:val="28"/>
                <w:szCs w:val="28"/>
                <w:highlight w:val="none"/>
                <w:shd w:val="clear" w:color="auto" w:fill="auto"/>
                <w:lang w:eastAsia="zh-CN"/>
              </w:rPr>
              <w:t>牵头配合部门</w:t>
            </w:r>
          </w:p>
        </w:tc>
        <w:tc>
          <w:tcPr>
            <w:tcW w:w="1304" w:type="dxa"/>
            <w:noWrap w:val="0"/>
            <w:vAlign w:val="center"/>
          </w:tcPr>
          <w:p>
            <w:pPr>
              <w:widowControl/>
              <w:jc w:val="center"/>
              <w:rPr>
                <w:rFonts w:hint="eastAsia" w:ascii="宋体" w:hAnsi="宋体"/>
                <w:b/>
                <w:bCs/>
                <w:color w:val="000000"/>
                <w:kern w:val="0"/>
                <w:sz w:val="28"/>
                <w:szCs w:val="28"/>
                <w:highlight w:val="none"/>
                <w:shd w:val="clear" w:color="auto" w:fill="auto"/>
                <w:lang w:eastAsia="zh-CN"/>
              </w:rPr>
            </w:pPr>
            <w:r>
              <w:rPr>
                <w:rFonts w:hint="eastAsia" w:ascii="宋体" w:hAnsi="宋体"/>
                <w:b/>
                <w:bCs/>
                <w:color w:val="000000"/>
                <w:kern w:val="0"/>
                <w:sz w:val="28"/>
                <w:szCs w:val="28"/>
                <w:highlight w:val="none"/>
                <w:shd w:val="clear" w:color="auto" w:fill="auto"/>
                <w:lang w:eastAsia="zh-CN"/>
              </w:rPr>
              <w:t>责任</w:t>
            </w:r>
          </w:p>
          <w:p>
            <w:pPr>
              <w:widowControl/>
              <w:jc w:val="center"/>
              <w:rPr>
                <w:highlight w:val="none"/>
                <w:shd w:val="clear" w:color="auto" w:fill="auto"/>
              </w:rPr>
            </w:pPr>
            <w:r>
              <w:rPr>
                <w:rFonts w:hint="eastAsia" w:ascii="宋体" w:hAnsi="宋体"/>
                <w:b/>
                <w:bCs/>
                <w:color w:val="000000"/>
                <w:kern w:val="0"/>
                <w:sz w:val="28"/>
                <w:szCs w:val="28"/>
                <w:highlight w:val="none"/>
                <w:shd w:val="clear" w:color="auto" w:fill="auto"/>
                <w:lang w:eastAsia="zh-CN"/>
              </w:rPr>
              <w:t>人</w:t>
            </w:r>
          </w:p>
        </w:tc>
        <w:tc>
          <w:tcPr>
            <w:tcW w:w="1305" w:type="dxa"/>
            <w:noWrap w:val="0"/>
            <w:vAlign w:val="center"/>
          </w:tcPr>
          <w:p>
            <w:pPr>
              <w:widowControl/>
              <w:jc w:val="center"/>
              <w:rPr>
                <w:rFonts w:hint="eastAsia" w:eastAsia="仿宋_GB2312"/>
                <w:kern w:val="0"/>
                <w:sz w:val="22"/>
                <w:szCs w:val="22"/>
                <w:highlight w:val="none"/>
                <w:shd w:val="clear" w:color="auto" w:fill="auto"/>
              </w:rPr>
            </w:pPr>
            <w:r>
              <w:rPr>
                <w:rFonts w:hint="eastAsia" w:ascii="宋体" w:hAnsi="宋体"/>
                <w:b/>
                <w:bCs/>
                <w:color w:val="000000"/>
                <w:kern w:val="0"/>
                <w:sz w:val="28"/>
                <w:szCs w:val="28"/>
                <w:highlight w:val="none"/>
                <w:shd w:val="clear" w:color="auto" w:fill="auto"/>
                <w:lang w:eastAsia="zh-CN"/>
              </w:rPr>
              <w:t>协调</w:t>
            </w:r>
            <w:r>
              <w:rPr>
                <w:rFonts w:hint="eastAsia" w:ascii="宋体" w:hAnsi="宋体"/>
                <w:b/>
                <w:bCs/>
                <w:color w:val="000000"/>
                <w:kern w:val="0"/>
                <w:sz w:val="28"/>
                <w:szCs w:val="28"/>
                <w:highlight w:val="none"/>
                <w:shd w:val="clear" w:color="auto" w:fill="auto"/>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77"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val="en-US" w:eastAsia="zh-CN"/>
              </w:rPr>
              <w:t>1</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发展改革委</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严格指标管理</w:t>
            </w:r>
          </w:p>
        </w:tc>
        <w:tc>
          <w:tcPr>
            <w:tcW w:w="6367" w:type="dxa"/>
            <w:noWrap w:val="0"/>
            <w:vAlign w:val="center"/>
          </w:tcPr>
          <w:p>
            <w:pPr>
              <w:widowControl/>
              <w:jc w:val="left"/>
              <w:rPr>
                <w:rFonts w:eastAsia="仿宋_GB2312" w:cs="宋体"/>
                <w:kern w:val="0"/>
                <w:sz w:val="22"/>
                <w:szCs w:val="22"/>
                <w:highlight w:val="none"/>
                <w:shd w:val="clear" w:color="auto" w:fill="auto"/>
              </w:rPr>
            </w:pPr>
            <w:r>
              <w:rPr>
                <w:rFonts w:hint="eastAsia" w:eastAsia="仿宋_GB2312" w:cs="宋体"/>
                <w:kern w:val="0"/>
                <w:sz w:val="22"/>
                <w:szCs w:val="22"/>
                <w:highlight w:val="none"/>
                <w:shd w:val="clear" w:color="auto" w:fill="auto"/>
              </w:rPr>
              <w:t>自治区各地各部门要制定区域发展规划，确定产业发展布局必须量水而行，切实把双控指标落实到生活、生产、生态用水各领域。</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计划处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王景山</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477" w:type="dxa"/>
            <w:noWrap w:val="0"/>
            <w:vAlign w:val="center"/>
          </w:tcPr>
          <w:p>
            <w:pPr>
              <w:widowControl/>
              <w:jc w:val="center"/>
              <w:rPr>
                <w:rFonts w:eastAsia="仿宋_GB2312"/>
                <w:kern w:val="0"/>
                <w:sz w:val="22"/>
                <w:szCs w:val="22"/>
                <w:highlight w:val="none"/>
                <w:shd w:val="clear" w:color="auto" w:fill="auto"/>
              </w:rPr>
            </w:pPr>
            <w:r>
              <w:rPr>
                <w:rFonts w:eastAsia="仿宋_GB2312"/>
                <w:kern w:val="0"/>
                <w:sz w:val="22"/>
                <w:szCs w:val="22"/>
                <w:highlight w:val="none"/>
                <w:shd w:val="clear" w:color="auto" w:fill="auto"/>
              </w:rPr>
              <w:t>2</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政府督查室</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强化目标考核</w:t>
            </w: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建立用水总量和强度双控责任追究制，严格责任追究，对落实不力的地</w:t>
            </w:r>
            <w:r>
              <w:rPr>
                <w:rFonts w:hint="eastAsia" w:eastAsia="仿宋_GB2312"/>
                <w:kern w:val="0"/>
                <w:sz w:val="22"/>
                <w:szCs w:val="22"/>
                <w:highlight w:val="none"/>
                <w:shd w:val="clear" w:color="auto" w:fill="auto"/>
                <w:lang w:eastAsia="zh-CN"/>
              </w:rPr>
              <w:t>区</w:t>
            </w:r>
            <w:r>
              <w:rPr>
                <w:rFonts w:hint="eastAsia" w:eastAsia="仿宋_GB2312"/>
                <w:kern w:val="0"/>
                <w:sz w:val="22"/>
                <w:szCs w:val="22"/>
                <w:highlight w:val="none"/>
                <w:shd w:val="clear" w:color="auto" w:fill="auto"/>
              </w:rPr>
              <w:t>，采取约谈、通报等措施予以督促；对因盲目决策和渎职、失职造成水资源浪费、水环境破坏等不良后果的相关责任人，依法依纪追究责任。</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李克文</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477"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val="en-US" w:eastAsia="zh-CN"/>
              </w:rPr>
              <w:t>3</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住房城乡建设厅</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统筹配置和有序利用水资源</w:t>
            </w: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完善再生水利用鼓励政策及管网等配套设施，推进再生水利用。到</w:t>
            </w:r>
            <w:r>
              <w:rPr>
                <w:rFonts w:eastAsia="仿宋_GB2312"/>
                <w:kern w:val="0"/>
                <w:sz w:val="22"/>
                <w:szCs w:val="22"/>
                <w:highlight w:val="none"/>
                <w:shd w:val="clear" w:color="auto" w:fill="auto"/>
              </w:rPr>
              <w:t>2017</w:t>
            </w:r>
            <w:r>
              <w:rPr>
                <w:rFonts w:hint="eastAsia" w:eastAsia="仿宋_GB2312"/>
                <w:kern w:val="0"/>
                <w:sz w:val="22"/>
                <w:szCs w:val="22"/>
                <w:highlight w:val="none"/>
                <w:shd w:val="clear" w:color="auto" w:fill="auto"/>
              </w:rPr>
              <w:t>年年底，全区累计建成</w:t>
            </w:r>
            <w:r>
              <w:rPr>
                <w:rFonts w:eastAsia="仿宋_GB2312"/>
                <w:kern w:val="0"/>
                <w:sz w:val="22"/>
                <w:szCs w:val="22"/>
                <w:highlight w:val="none"/>
                <w:shd w:val="clear" w:color="auto" w:fill="auto"/>
              </w:rPr>
              <w:t>20</w:t>
            </w:r>
            <w:r>
              <w:rPr>
                <w:rFonts w:hint="eastAsia" w:eastAsia="仿宋_GB2312"/>
                <w:kern w:val="0"/>
                <w:sz w:val="22"/>
                <w:szCs w:val="22"/>
                <w:highlight w:val="none"/>
                <w:shd w:val="clear" w:color="auto" w:fill="auto"/>
              </w:rPr>
              <w:t>座再生水利用设施；</w:t>
            </w:r>
            <w:r>
              <w:rPr>
                <w:rFonts w:eastAsia="仿宋_GB2312"/>
                <w:kern w:val="0"/>
                <w:sz w:val="22"/>
                <w:szCs w:val="22"/>
                <w:highlight w:val="none"/>
                <w:shd w:val="clear" w:color="auto" w:fill="auto"/>
              </w:rPr>
              <w:t>2018</w:t>
            </w:r>
            <w:r>
              <w:rPr>
                <w:rFonts w:hint="eastAsia" w:eastAsia="仿宋_GB2312"/>
                <w:kern w:val="0"/>
                <w:sz w:val="22"/>
                <w:szCs w:val="22"/>
                <w:highlight w:val="none"/>
                <w:shd w:val="clear" w:color="auto" w:fill="auto"/>
              </w:rPr>
              <w:t>年起</w:t>
            </w:r>
            <w:r>
              <w:rPr>
                <w:rFonts w:hint="eastAsia" w:eastAsia="仿宋_GB2312"/>
                <w:kern w:val="0"/>
                <w:sz w:val="22"/>
                <w:szCs w:val="22"/>
                <w:highlight w:val="none"/>
                <w:shd w:val="clear" w:color="auto" w:fill="auto"/>
                <w:lang w:eastAsia="zh-CN"/>
              </w:rPr>
              <w:t>，</w:t>
            </w:r>
            <w:r>
              <w:rPr>
                <w:rFonts w:hint="eastAsia" w:eastAsia="仿宋_GB2312"/>
                <w:kern w:val="0"/>
                <w:sz w:val="22"/>
                <w:szCs w:val="22"/>
                <w:highlight w:val="none"/>
                <w:shd w:val="clear" w:color="auto" w:fill="auto"/>
              </w:rPr>
              <w:t>单体建筑面积超过</w:t>
            </w:r>
            <w:r>
              <w:rPr>
                <w:rFonts w:eastAsia="仿宋_GB2312"/>
                <w:kern w:val="0"/>
                <w:sz w:val="22"/>
                <w:szCs w:val="22"/>
                <w:highlight w:val="none"/>
                <w:shd w:val="clear" w:color="auto" w:fill="auto"/>
              </w:rPr>
              <w:t>2</w:t>
            </w:r>
            <w:r>
              <w:rPr>
                <w:rFonts w:hint="eastAsia" w:eastAsia="仿宋_GB2312"/>
                <w:kern w:val="0"/>
                <w:sz w:val="22"/>
                <w:szCs w:val="22"/>
                <w:highlight w:val="none"/>
                <w:shd w:val="clear" w:color="auto" w:fill="auto"/>
              </w:rPr>
              <w:t>万平方米的新建公共建筑和政府投资的住宅建筑均应安装建筑再生水利用设施；到</w:t>
            </w:r>
            <w:r>
              <w:rPr>
                <w:rFonts w:eastAsia="仿宋_GB2312"/>
                <w:kern w:val="0"/>
                <w:sz w:val="22"/>
                <w:szCs w:val="22"/>
                <w:highlight w:val="none"/>
                <w:shd w:val="clear" w:color="auto" w:fill="auto"/>
              </w:rPr>
              <w:t>2020</w:t>
            </w:r>
            <w:r>
              <w:rPr>
                <w:rFonts w:hint="eastAsia" w:eastAsia="仿宋_GB2312"/>
                <w:kern w:val="0"/>
                <w:sz w:val="22"/>
                <w:szCs w:val="22"/>
                <w:highlight w:val="none"/>
                <w:shd w:val="clear" w:color="auto" w:fill="auto"/>
              </w:rPr>
              <w:t>年，全区再生水利用率达到</w:t>
            </w:r>
            <w:r>
              <w:rPr>
                <w:rFonts w:eastAsia="仿宋_GB2312"/>
                <w:kern w:val="0"/>
                <w:sz w:val="22"/>
                <w:szCs w:val="22"/>
                <w:highlight w:val="none"/>
                <w:shd w:val="clear" w:color="auto" w:fill="auto"/>
              </w:rPr>
              <w:t>35%</w:t>
            </w:r>
            <w:r>
              <w:rPr>
                <w:rFonts w:hint="eastAsia" w:eastAsia="仿宋_GB2312"/>
                <w:kern w:val="0"/>
                <w:sz w:val="22"/>
                <w:szCs w:val="22"/>
                <w:highlight w:val="none"/>
                <w:shd w:val="clear" w:color="auto" w:fill="auto"/>
              </w:rPr>
              <w:t>以上。</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水资源局</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杨海宁</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4</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环境保护厅</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全面实行计划用水管理</w:t>
            </w: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严格排污许可制度。</w:t>
            </w:r>
            <w:r>
              <w:rPr>
                <w:rFonts w:hint="eastAsia" w:eastAsia="仿宋_GB2312"/>
                <w:kern w:val="0"/>
                <w:sz w:val="22"/>
                <w:szCs w:val="22"/>
                <w:highlight w:val="none"/>
                <w:shd w:val="clear" w:color="auto" w:fill="auto"/>
                <w:lang w:eastAsia="zh-CN"/>
              </w:rPr>
              <w:t>开展</w:t>
            </w:r>
            <w:r>
              <w:rPr>
                <w:rFonts w:hint="eastAsia" w:eastAsia="仿宋_GB2312"/>
                <w:kern w:val="0"/>
                <w:sz w:val="22"/>
                <w:szCs w:val="22"/>
                <w:highlight w:val="none"/>
                <w:shd w:val="clear" w:color="auto" w:fill="auto"/>
              </w:rPr>
              <w:t>工业企业废水排放排查，全面实行取用水企业废水排放总量控制，建立超总量排放</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黄牌</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警示和</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红牌</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处罚制度，倒逼取用水企业提高用水效率、减少水资源总量消耗。</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水资源局</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杨海宁</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5</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住房城乡建设厅</w:t>
            </w:r>
          </w:p>
        </w:tc>
        <w:tc>
          <w:tcPr>
            <w:tcW w:w="1724" w:type="dxa"/>
            <w:noWrap w:val="0"/>
            <w:vAlign w:val="center"/>
          </w:tcPr>
          <w:p>
            <w:pPr>
              <w:widowControl/>
              <w:jc w:val="center"/>
              <w:rPr>
                <w:rFonts w:hint="eastAsia" w:hAnsi="宋体"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提升水资源计量监控能力</w:t>
            </w:r>
          </w:p>
        </w:tc>
        <w:tc>
          <w:tcPr>
            <w:tcW w:w="6367" w:type="dxa"/>
            <w:noWrap w:val="0"/>
            <w:vAlign w:val="center"/>
          </w:tcPr>
          <w:p>
            <w:pPr>
              <w:widowControl/>
              <w:jc w:val="left"/>
              <w:rPr>
                <w:rFonts w:hint="eastAsia" w:eastAsia="仿宋_GB2312"/>
                <w:kern w:val="0"/>
                <w:sz w:val="22"/>
                <w:szCs w:val="22"/>
                <w:highlight w:val="none"/>
                <w:shd w:val="clear" w:color="auto" w:fill="auto"/>
              </w:rPr>
            </w:pPr>
            <w:r>
              <w:rPr>
                <w:rFonts w:hint="eastAsia" w:eastAsia="仿宋_GB2312"/>
                <w:kern w:val="0"/>
                <w:sz w:val="22"/>
                <w:szCs w:val="22"/>
                <w:highlight w:val="none"/>
                <w:shd w:val="clear" w:color="auto" w:fill="auto"/>
              </w:rPr>
              <w:t>推进公共建筑能耗监测系统建设，实现全区国家机关办公建筑和大型公共建筑能耗监测有效覆盖。</w:t>
            </w:r>
          </w:p>
        </w:tc>
        <w:tc>
          <w:tcPr>
            <w:tcW w:w="1304"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李克文</w:t>
            </w:r>
          </w:p>
        </w:tc>
        <w:tc>
          <w:tcPr>
            <w:tcW w:w="1305"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6</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农牧厅</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实施农业节水领跑行动</w:t>
            </w: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加快国土整治、农业综合开发等节水项目建设。严控新增灌溉土地，调整种植结构，压减高耗水作物种植面积，建立节水型农业种植模式，水稻种植面积控制在</w:t>
            </w:r>
            <w:r>
              <w:rPr>
                <w:rFonts w:eastAsia="仿宋_GB2312"/>
                <w:kern w:val="0"/>
                <w:sz w:val="22"/>
                <w:szCs w:val="22"/>
                <w:highlight w:val="none"/>
                <w:shd w:val="clear" w:color="auto" w:fill="auto"/>
              </w:rPr>
              <w:t>120</w:t>
            </w:r>
            <w:r>
              <w:rPr>
                <w:rFonts w:hint="eastAsia" w:eastAsia="仿宋_GB2312"/>
                <w:kern w:val="0"/>
                <w:sz w:val="22"/>
                <w:szCs w:val="22"/>
                <w:highlight w:val="none"/>
                <w:shd w:val="clear" w:color="auto" w:fill="auto"/>
              </w:rPr>
              <w:t>万亩以内</w:t>
            </w:r>
            <w:r>
              <w:rPr>
                <w:rFonts w:hint="eastAsia" w:eastAsia="仿宋_GB2312"/>
                <w:kern w:val="0"/>
                <w:sz w:val="22"/>
                <w:szCs w:val="22"/>
                <w:highlight w:val="none"/>
                <w:shd w:val="clear" w:color="auto" w:fill="auto"/>
                <w:lang w:eastAsia="zh-CN"/>
              </w:rPr>
              <w:t>，</w:t>
            </w:r>
            <w:r>
              <w:rPr>
                <w:rFonts w:hint="eastAsia" w:eastAsia="仿宋_GB2312"/>
                <w:kern w:val="0"/>
                <w:sz w:val="22"/>
                <w:szCs w:val="22"/>
                <w:highlight w:val="none"/>
                <w:shd w:val="clear" w:color="auto" w:fill="auto"/>
              </w:rPr>
              <w:t>年覆膜保墒面积稳定在</w:t>
            </w:r>
            <w:r>
              <w:rPr>
                <w:rFonts w:eastAsia="仿宋_GB2312"/>
                <w:kern w:val="0"/>
                <w:sz w:val="22"/>
                <w:szCs w:val="22"/>
                <w:highlight w:val="none"/>
                <w:shd w:val="clear" w:color="auto" w:fill="auto"/>
              </w:rPr>
              <w:t>200</w:t>
            </w:r>
            <w:r>
              <w:rPr>
                <w:rFonts w:hint="eastAsia" w:eastAsia="仿宋_GB2312"/>
                <w:kern w:val="0"/>
                <w:sz w:val="22"/>
                <w:szCs w:val="22"/>
                <w:highlight w:val="none"/>
                <w:shd w:val="clear" w:color="auto" w:fill="auto"/>
              </w:rPr>
              <w:t>万亩以上，适宜节水区域现有</w:t>
            </w:r>
            <w:r>
              <w:rPr>
                <w:rFonts w:eastAsia="仿宋_GB2312"/>
                <w:kern w:val="0"/>
                <w:sz w:val="22"/>
                <w:szCs w:val="22"/>
                <w:highlight w:val="none"/>
                <w:shd w:val="clear" w:color="auto" w:fill="auto"/>
              </w:rPr>
              <w:t>120</w:t>
            </w:r>
            <w:r>
              <w:rPr>
                <w:rFonts w:hint="eastAsia" w:eastAsia="仿宋_GB2312"/>
                <w:kern w:val="0"/>
                <w:sz w:val="22"/>
                <w:szCs w:val="22"/>
                <w:highlight w:val="none"/>
                <w:shd w:val="clear" w:color="auto" w:fill="auto"/>
              </w:rPr>
              <w:t>万亩经果林全部实行节水灌溉。</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农水处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徐宁红</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水资源局</w:t>
            </w:r>
            <w:r>
              <w:rPr>
                <w:rFonts w:hint="eastAsia" w:eastAsia="仿宋_GB2312"/>
                <w:kern w:val="0"/>
                <w:sz w:val="22"/>
                <w:szCs w:val="22"/>
                <w:highlight w:val="none"/>
                <w:shd w:val="clear" w:color="auto" w:fill="auto"/>
              </w:rPr>
              <w:br w:type="textWrapping"/>
            </w:r>
            <w:r>
              <w:rPr>
                <w:rFonts w:hint="eastAsia" w:eastAsia="仿宋_GB2312"/>
                <w:kern w:val="0"/>
                <w:sz w:val="22"/>
                <w:szCs w:val="22"/>
                <w:highlight w:val="none"/>
                <w:shd w:val="clear" w:color="auto" w:fill="auto"/>
              </w:rPr>
              <w:t>计划处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7</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经济和信息化委</w:t>
            </w:r>
          </w:p>
        </w:tc>
        <w:tc>
          <w:tcPr>
            <w:tcW w:w="1724" w:type="dxa"/>
            <w:noWrap w:val="0"/>
            <w:vAlign w:val="center"/>
          </w:tcPr>
          <w:p>
            <w:pPr>
              <w:widowControl/>
              <w:jc w:val="center"/>
              <w:rPr>
                <w:rFonts w:hint="eastAsia" w:hAnsi="宋体"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实施工业节水增效行动</w:t>
            </w:r>
          </w:p>
        </w:tc>
        <w:tc>
          <w:tcPr>
            <w:tcW w:w="6367" w:type="dxa"/>
            <w:noWrap w:val="0"/>
            <w:vAlign w:val="center"/>
          </w:tcPr>
          <w:p>
            <w:pPr>
              <w:widowControl/>
              <w:jc w:val="left"/>
              <w:rPr>
                <w:rFonts w:hint="eastAsia" w:eastAsia="仿宋_GB2312"/>
                <w:kern w:val="0"/>
                <w:sz w:val="22"/>
                <w:szCs w:val="22"/>
                <w:highlight w:val="none"/>
                <w:shd w:val="clear" w:color="auto" w:fill="auto"/>
              </w:rPr>
            </w:pPr>
            <w:r>
              <w:rPr>
                <w:rFonts w:eastAsia="仿宋_GB2312"/>
                <w:kern w:val="0"/>
                <w:sz w:val="22"/>
                <w:szCs w:val="22"/>
                <w:highlight w:val="none"/>
                <w:shd w:val="clear" w:color="auto" w:fill="auto"/>
              </w:rPr>
              <w:t>2018</w:t>
            </w:r>
            <w:r>
              <w:rPr>
                <w:rFonts w:hint="eastAsia" w:eastAsia="仿宋_GB2312"/>
                <w:kern w:val="0"/>
                <w:sz w:val="22"/>
                <w:szCs w:val="22"/>
                <w:highlight w:val="none"/>
                <w:shd w:val="clear" w:color="auto" w:fill="auto"/>
              </w:rPr>
              <w:t>年在全区范围内启动开展节水型工业园区建设，以工业园区为单元，推进千家企业节水对标达标、发展清洁生产、废污水集中处理回用，培育绿色园区和绿色企业，降低水资源消耗和废污水排放。宁东能源化工基地和银川、石嘴山两个国家级经济技术开发区率先开展节水型工业园区建设。</w:t>
            </w:r>
            <w:r>
              <w:rPr>
                <w:rFonts w:hint="eastAsia" w:eastAsia="仿宋_GB2312"/>
                <w:color w:val="000000"/>
                <w:kern w:val="0"/>
                <w:sz w:val="22"/>
                <w:szCs w:val="22"/>
                <w:highlight w:val="none"/>
                <w:shd w:val="clear" w:color="auto" w:fill="auto"/>
              </w:rPr>
              <w:t>到</w:t>
            </w:r>
            <w:r>
              <w:rPr>
                <w:rFonts w:eastAsia="仿宋_GB2312"/>
                <w:color w:val="000000"/>
                <w:kern w:val="0"/>
                <w:sz w:val="22"/>
                <w:szCs w:val="22"/>
                <w:highlight w:val="none"/>
                <w:shd w:val="clear" w:color="auto" w:fill="auto"/>
              </w:rPr>
              <w:t>2020</w:t>
            </w:r>
            <w:r>
              <w:rPr>
                <w:rFonts w:hint="eastAsia" w:eastAsia="仿宋_GB2312"/>
                <w:color w:val="000000"/>
                <w:kern w:val="0"/>
                <w:sz w:val="22"/>
                <w:szCs w:val="22"/>
                <w:highlight w:val="none"/>
                <w:shd w:val="clear" w:color="auto" w:fill="auto"/>
              </w:rPr>
              <w:t>年，全区开展节水型工业园区建设的比例达到</w:t>
            </w:r>
            <w:r>
              <w:rPr>
                <w:rFonts w:eastAsia="仿宋_GB2312"/>
                <w:color w:val="000000"/>
                <w:kern w:val="0"/>
                <w:sz w:val="22"/>
                <w:szCs w:val="22"/>
                <w:highlight w:val="none"/>
                <w:shd w:val="clear" w:color="auto" w:fill="auto"/>
              </w:rPr>
              <w:t>30%</w:t>
            </w:r>
            <w:r>
              <w:rPr>
                <w:rFonts w:hint="eastAsia" w:eastAsia="仿宋_GB2312"/>
                <w:color w:val="000000"/>
                <w:kern w:val="0"/>
                <w:sz w:val="22"/>
                <w:szCs w:val="22"/>
                <w:highlight w:val="none"/>
                <w:shd w:val="clear" w:color="auto" w:fill="auto"/>
              </w:rPr>
              <w:t>，</w:t>
            </w:r>
            <w:r>
              <w:rPr>
                <w:rFonts w:eastAsia="仿宋_GB2312"/>
                <w:color w:val="000000"/>
                <w:kern w:val="0"/>
                <w:sz w:val="22"/>
                <w:szCs w:val="22"/>
                <w:highlight w:val="none"/>
                <w:shd w:val="clear" w:color="auto" w:fill="auto"/>
              </w:rPr>
              <w:t>50%</w:t>
            </w:r>
            <w:r>
              <w:rPr>
                <w:rFonts w:hint="eastAsia" w:eastAsia="仿宋_GB2312"/>
                <w:color w:val="000000"/>
                <w:kern w:val="0"/>
                <w:sz w:val="22"/>
                <w:szCs w:val="22"/>
                <w:highlight w:val="none"/>
                <w:shd w:val="clear" w:color="auto" w:fill="auto"/>
              </w:rPr>
              <w:t>的大型企业建成节水型企业，工业用水重复利用率达到</w:t>
            </w:r>
            <w:r>
              <w:rPr>
                <w:rFonts w:eastAsia="仿宋_GB2312"/>
                <w:color w:val="000000"/>
                <w:kern w:val="0"/>
                <w:sz w:val="22"/>
                <w:szCs w:val="22"/>
                <w:highlight w:val="none"/>
                <w:shd w:val="clear" w:color="auto" w:fill="auto"/>
              </w:rPr>
              <w:t>85%</w:t>
            </w:r>
            <w:r>
              <w:rPr>
                <w:rFonts w:hint="eastAsia" w:eastAsia="仿宋_GB2312"/>
                <w:color w:val="000000"/>
                <w:kern w:val="0"/>
                <w:sz w:val="22"/>
                <w:szCs w:val="22"/>
                <w:highlight w:val="none"/>
                <w:shd w:val="clear" w:color="auto" w:fill="auto"/>
              </w:rPr>
              <w:t>以上。</w:t>
            </w:r>
          </w:p>
        </w:tc>
        <w:tc>
          <w:tcPr>
            <w:tcW w:w="1304"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水资源局</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杨海宁</w:t>
            </w:r>
          </w:p>
        </w:tc>
        <w:tc>
          <w:tcPr>
            <w:tcW w:w="1305"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8</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规划办</w:t>
            </w:r>
          </w:p>
        </w:tc>
        <w:tc>
          <w:tcPr>
            <w:tcW w:w="1724" w:type="dxa"/>
            <w:vMerge w:val="restart"/>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实施城市节水普及行动</w:t>
            </w: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落实</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以水定产、以水定城</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，根据资源禀赋和环境承载能力，编制自治区空间规划和五个地级市空间规划，管控城市规模。</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lang w:eastAsia="zh-CN"/>
              </w:rPr>
              <w:t>水资源处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李克文</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w:t>
            </w:r>
            <w:r>
              <w:rPr>
                <w:rFonts w:hint="eastAsia" w:eastAsia="仿宋_GB2312"/>
                <w:kern w:val="0"/>
                <w:sz w:val="22"/>
                <w:szCs w:val="22"/>
                <w:highlight w:val="none"/>
                <w:shd w:val="clear" w:color="auto" w:fill="auto"/>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9</w:t>
            </w:r>
          </w:p>
        </w:tc>
        <w:tc>
          <w:tcPr>
            <w:tcW w:w="1644" w:type="dxa"/>
            <w:noWrap w:val="0"/>
            <w:vAlign w:val="center"/>
          </w:tcPr>
          <w:p>
            <w:pPr>
              <w:widowControl/>
              <w:jc w:val="center"/>
              <w:rPr>
                <w:rFonts w:hint="eastAsia" w:eastAsia="仿宋_GB2312" w:cs="宋体"/>
                <w:kern w:val="0"/>
                <w:sz w:val="22"/>
                <w:szCs w:val="22"/>
                <w:highlight w:val="none"/>
                <w:shd w:val="clear" w:color="auto" w:fill="auto"/>
                <w:lang w:eastAsia="zh-CN"/>
              </w:rPr>
            </w:pPr>
            <w:r>
              <w:rPr>
                <w:rFonts w:hint="eastAsia" w:eastAsia="仿宋_GB2312" w:cs="宋体"/>
                <w:kern w:val="0"/>
                <w:sz w:val="22"/>
                <w:szCs w:val="22"/>
                <w:highlight w:val="none"/>
                <w:shd w:val="clear" w:color="auto" w:fill="auto"/>
                <w:lang w:eastAsia="zh-CN"/>
              </w:rPr>
              <w:t>住房城乡建设厅</w:t>
            </w:r>
          </w:p>
        </w:tc>
        <w:tc>
          <w:tcPr>
            <w:tcW w:w="1724" w:type="dxa"/>
            <w:vMerge w:val="continue"/>
            <w:noWrap w:val="0"/>
            <w:vAlign w:val="center"/>
          </w:tcPr>
          <w:p>
            <w:pPr>
              <w:widowControl/>
              <w:jc w:val="left"/>
              <w:rPr>
                <w:rFonts w:eastAsia="仿宋_GB2312" w:cs="宋体"/>
                <w:kern w:val="0"/>
                <w:sz w:val="22"/>
                <w:szCs w:val="22"/>
                <w:highlight w:val="none"/>
                <w:shd w:val="clear" w:color="auto" w:fill="auto"/>
              </w:rPr>
            </w:pPr>
          </w:p>
        </w:tc>
        <w:tc>
          <w:tcPr>
            <w:tcW w:w="6367" w:type="dxa"/>
            <w:noWrap w:val="0"/>
            <w:vAlign w:val="center"/>
          </w:tcPr>
          <w:p>
            <w:pPr>
              <w:widowControl/>
              <w:jc w:val="left"/>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积极推进节水型城市和海绵城市建设，加快供水管网更新改造，建立完善地下管网数字化监测管理系统，推广普及生活节水器具，严格落实建筑设计节水标准和要求。</w:t>
            </w:r>
          </w:p>
        </w:tc>
        <w:tc>
          <w:tcPr>
            <w:tcW w:w="1304"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水资源处</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李克文</w:t>
            </w:r>
          </w:p>
        </w:tc>
        <w:tc>
          <w:tcPr>
            <w:tcW w:w="1305" w:type="dxa"/>
            <w:noWrap w:val="0"/>
            <w:vAlign w:val="center"/>
          </w:tcPr>
          <w:p>
            <w:pPr>
              <w:widowControl/>
              <w:jc w:val="center"/>
              <w:rPr>
                <w:rFonts w:eastAsia="仿宋_GB2312"/>
                <w:kern w:val="0"/>
                <w:sz w:val="22"/>
                <w:szCs w:val="22"/>
                <w:highlight w:val="none"/>
                <w:shd w:val="clear" w:color="auto" w:fill="auto"/>
              </w:rPr>
            </w:pPr>
            <w:r>
              <w:rPr>
                <w:rFonts w:hint="eastAsia" w:eastAsia="仿宋_GB2312"/>
                <w:kern w:val="0"/>
                <w:sz w:val="22"/>
                <w:szCs w:val="22"/>
                <w:highlight w:val="none"/>
                <w:shd w:val="clear" w:color="auto" w:fill="auto"/>
              </w:rPr>
              <w:t>水资源局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10</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新闻出版广电局</w:t>
            </w:r>
          </w:p>
        </w:tc>
        <w:tc>
          <w:tcPr>
            <w:tcW w:w="1724" w:type="dxa"/>
            <w:noWrap w:val="0"/>
            <w:vAlign w:val="center"/>
          </w:tcPr>
          <w:p>
            <w:pPr>
              <w:widowControl/>
              <w:jc w:val="center"/>
              <w:rPr>
                <w:rFonts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实施全民节水文明行动</w:t>
            </w:r>
          </w:p>
        </w:tc>
        <w:tc>
          <w:tcPr>
            <w:tcW w:w="6367" w:type="dxa"/>
            <w:noWrap w:val="0"/>
            <w:vAlign w:val="center"/>
          </w:tcPr>
          <w:p>
            <w:pPr>
              <w:widowControl/>
              <w:jc w:val="left"/>
              <w:rPr>
                <w:rFonts w:hint="eastAsia" w:eastAsia="仿宋_GB2312"/>
                <w:kern w:val="0"/>
                <w:sz w:val="22"/>
                <w:szCs w:val="22"/>
                <w:highlight w:val="none"/>
                <w:shd w:val="clear" w:color="auto" w:fill="auto"/>
              </w:rPr>
            </w:pPr>
            <w:r>
              <w:rPr>
                <w:rFonts w:hint="eastAsia" w:eastAsia="仿宋_GB2312"/>
                <w:kern w:val="0"/>
                <w:sz w:val="22"/>
                <w:szCs w:val="22"/>
                <w:highlight w:val="none"/>
                <w:shd w:val="clear" w:color="auto" w:fill="auto"/>
              </w:rPr>
              <w:t>新闻媒体单位把节水纳入公益性宣传范围，每年利用</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世界水日</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中国水周</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全国城市节水宣传周</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全国节能宣传周</w:t>
            </w:r>
            <w:r>
              <w:rPr>
                <w:rFonts w:eastAsia="仿宋_GB2312"/>
                <w:kern w:val="0"/>
                <w:sz w:val="22"/>
                <w:szCs w:val="22"/>
                <w:highlight w:val="none"/>
                <w:shd w:val="clear" w:color="auto" w:fill="auto"/>
              </w:rPr>
              <w:t>”</w:t>
            </w:r>
            <w:r>
              <w:rPr>
                <w:rFonts w:hint="eastAsia" w:eastAsia="仿宋_GB2312"/>
                <w:kern w:val="0"/>
                <w:sz w:val="22"/>
                <w:szCs w:val="22"/>
                <w:highlight w:val="none"/>
                <w:shd w:val="clear" w:color="auto" w:fill="auto"/>
              </w:rPr>
              <w:t>等大型活动，集中开展深度采访、典型报道，广泛开展区情、水情宣传。</w:t>
            </w:r>
            <w:r>
              <w:rPr>
                <w:rFonts w:eastAsia="仿宋_GB2312"/>
                <w:kern w:val="0"/>
                <w:sz w:val="22"/>
                <w:szCs w:val="22"/>
                <w:highlight w:val="none"/>
                <w:shd w:val="clear" w:color="auto" w:fill="auto"/>
              </w:rPr>
              <w:t>2017</w:t>
            </w:r>
            <w:r>
              <w:rPr>
                <w:rFonts w:hint="eastAsia" w:eastAsia="仿宋_GB2312"/>
                <w:kern w:val="0"/>
                <w:sz w:val="22"/>
                <w:szCs w:val="22"/>
                <w:highlight w:val="none"/>
                <w:shd w:val="clear" w:color="auto" w:fill="auto"/>
              </w:rPr>
              <w:t>年年底前，水情教育纳入国民素质教育体系和中小学教育课程体系，作为各级领导干部</w:t>
            </w:r>
            <w:r>
              <w:rPr>
                <w:rFonts w:hint="eastAsia" w:eastAsia="仿宋_GB2312"/>
                <w:kern w:val="0"/>
                <w:sz w:val="22"/>
                <w:szCs w:val="22"/>
                <w:highlight w:val="none"/>
                <w:shd w:val="clear" w:color="auto" w:fill="auto"/>
                <w:lang w:eastAsia="zh-CN"/>
              </w:rPr>
              <w:t>、</w:t>
            </w:r>
            <w:r>
              <w:rPr>
                <w:rFonts w:hint="eastAsia" w:eastAsia="仿宋_GB2312"/>
                <w:kern w:val="0"/>
                <w:sz w:val="22"/>
                <w:szCs w:val="22"/>
                <w:highlight w:val="none"/>
                <w:shd w:val="clear" w:color="auto" w:fill="auto"/>
              </w:rPr>
              <w:t>公务员</w:t>
            </w:r>
            <w:r>
              <w:rPr>
                <w:rFonts w:hint="eastAsia" w:eastAsia="仿宋_GB2312"/>
                <w:kern w:val="0"/>
                <w:sz w:val="22"/>
                <w:szCs w:val="22"/>
                <w:highlight w:val="none"/>
                <w:shd w:val="clear" w:color="auto" w:fill="auto"/>
                <w:lang w:eastAsia="zh-CN"/>
              </w:rPr>
              <w:t>和学生</w:t>
            </w:r>
            <w:r>
              <w:rPr>
                <w:rFonts w:hint="eastAsia" w:eastAsia="仿宋_GB2312"/>
                <w:kern w:val="0"/>
                <w:sz w:val="22"/>
                <w:szCs w:val="22"/>
                <w:highlight w:val="none"/>
                <w:shd w:val="clear" w:color="auto" w:fill="auto"/>
              </w:rPr>
              <w:t>教育培训的重要内容。</w:t>
            </w:r>
          </w:p>
        </w:tc>
        <w:tc>
          <w:tcPr>
            <w:tcW w:w="1304"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厅办公室</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王岚海</w:t>
            </w:r>
          </w:p>
        </w:tc>
        <w:tc>
          <w:tcPr>
            <w:tcW w:w="1305"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11</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物价局</w:t>
            </w:r>
          </w:p>
        </w:tc>
        <w:tc>
          <w:tcPr>
            <w:tcW w:w="1724" w:type="dxa"/>
            <w:vMerge w:val="restart"/>
            <w:noWrap w:val="0"/>
            <w:vAlign w:val="center"/>
          </w:tcPr>
          <w:p>
            <w:pPr>
              <w:widowControl/>
              <w:jc w:val="center"/>
              <w:rPr>
                <w:rFonts w:hint="eastAsia" w:hAnsi="宋体" w:eastAsia="仿宋_GB2312" w:cs="宋体"/>
                <w:kern w:val="0"/>
                <w:sz w:val="22"/>
                <w:szCs w:val="22"/>
                <w:highlight w:val="none"/>
                <w:shd w:val="clear" w:color="auto" w:fill="auto"/>
              </w:rPr>
            </w:pPr>
            <w:r>
              <w:rPr>
                <w:rFonts w:hint="eastAsia" w:hAnsi="宋体" w:eastAsia="仿宋_GB2312" w:cs="宋体"/>
                <w:kern w:val="0"/>
                <w:sz w:val="22"/>
                <w:szCs w:val="22"/>
                <w:highlight w:val="none"/>
                <w:shd w:val="clear" w:color="auto" w:fill="auto"/>
              </w:rPr>
              <w:t>稳步推进水价改革</w:t>
            </w:r>
          </w:p>
        </w:tc>
        <w:tc>
          <w:tcPr>
            <w:tcW w:w="6367" w:type="dxa"/>
            <w:noWrap w:val="0"/>
            <w:vAlign w:val="center"/>
          </w:tcPr>
          <w:p>
            <w:pPr>
              <w:widowControl/>
              <w:jc w:val="left"/>
              <w:rPr>
                <w:rFonts w:hint="eastAsia" w:eastAsia="仿宋_GB2312"/>
                <w:kern w:val="0"/>
                <w:sz w:val="22"/>
                <w:szCs w:val="22"/>
                <w:highlight w:val="none"/>
                <w:shd w:val="clear" w:color="auto" w:fill="auto"/>
              </w:rPr>
            </w:pPr>
            <w:r>
              <w:rPr>
                <w:rFonts w:hint="eastAsia" w:eastAsia="仿宋_GB2312"/>
                <w:kern w:val="0"/>
                <w:sz w:val="22"/>
                <w:szCs w:val="22"/>
                <w:highlight w:val="none"/>
                <w:shd w:val="clear" w:color="auto" w:fill="auto"/>
              </w:rPr>
              <w:t>全面推行居民用水阶梯水价和非居民用水超定额、超计划累进加价制度。</w:t>
            </w:r>
          </w:p>
        </w:tc>
        <w:tc>
          <w:tcPr>
            <w:tcW w:w="1304"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水资源局</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杨海宁</w:t>
            </w:r>
          </w:p>
        </w:tc>
        <w:tc>
          <w:tcPr>
            <w:tcW w:w="1305"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77" w:type="dxa"/>
            <w:noWrap w:val="0"/>
            <w:vAlign w:val="center"/>
          </w:tcPr>
          <w:p>
            <w:pPr>
              <w:widowControl/>
              <w:jc w:val="center"/>
              <w:rPr>
                <w:rFonts w:hint="eastAsia" w:eastAsia="仿宋_GB2312"/>
                <w:kern w:val="0"/>
                <w:sz w:val="22"/>
                <w:szCs w:val="22"/>
                <w:highlight w:val="none"/>
                <w:shd w:val="clear" w:color="auto" w:fill="auto"/>
                <w:lang w:val="en-US" w:eastAsia="zh-CN"/>
              </w:rPr>
            </w:pPr>
            <w:r>
              <w:rPr>
                <w:rFonts w:hint="eastAsia" w:eastAsia="仿宋_GB2312"/>
                <w:kern w:val="0"/>
                <w:sz w:val="22"/>
                <w:szCs w:val="22"/>
                <w:highlight w:val="none"/>
                <w:shd w:val="clear" w:color="auto" w:fill="auto"/>
                <w:lang w:val="en-US" w:eastAsia="zh-CN"/>
              </w:rPr>
              <w:t>12</w:t>
            </w:r>
          </w:p>
        </w:tc>
        <w:tc>
          <w:tcPr>
            <w:tcW w:w="1644" w:type="dxa"/>
            <w:noWrap w:val="0"/>
            <w:vAlign w:val="center"/>
          </w:tcPr>
          <w:p>
            <w:pPr>
              <w:widowControl/>
              <w:jc w:val="center"/>
              <w:rPr>
                <w:rFonts w:hint="eastAsia" w:hAnsi="宋体" w:eastAsia="仿宋_GB2312" w:cs="宋体"/>
                <w:kern w:val="0"/>
                <w:sz w:val="22"/>
                <w:szCs w:val="22"/>
                <w:highlight w:val="none"/>
                <w:shd w:val="clear" w:color="auto" w:fill="auto"/>
                <w:lang w:eastAsia="zh-CN"/>
              </w:rPr>
            </w:pPr>
            <w:r>
              <w:rPr>
                <w:rFonts w:hint="eastAsia" w:hAnsi="宋体" w:eastAsia="仿宋_GB2312" w:cs="宋体"/>
                <w:kern w:val="0"/>
                <w:sz w:val="22"/>
                <w:szCs w:val="22"/>
                <w:highlight w:val="none"/>
                <w:shd w:val="clear" w:color="auto" w:fill="auto"/>
                <w:lang w:eastAsia="zh-CN"/>
              </w:rPr>
              <w:t>财政厅</w:t>
            </w:r>
          </w:p>
        </w:tc>
        <w:tc>
          <w:tcPr>
            <w:tcW w:w="1724" w:type="dxa"/>
            <w:vMerge w:val="continue"/>
            <w:noWrap w:val="0"/>
            <w:vAlign w:val="center"/>
          </w:tcPr>
          <w:p>
            <w:pPr>
              <w:widowControl/>
              <w:jc w:val="left"/>
              <w:rPr>
                <w:rFonts w:hint="eastAsia" w:hAnsi="宋体" w:eastAsia="仿宋_GB2312" w:cs="宋体"/>
                <w:kern w:val="0"/>
                <w:sz w:val="22"/>
                <w:szCs w:val="22"/>
                <w:highlight w:val="none"/>
                <w:shd w:val="clear" w:color="auto" w:fill="auto"/>
              </w:rPr>
            </w:pPr>
          </w:p>
        </w:tc>
        <w:tc>
          <w:tcPr>
            <w:tcW w:w="6367" w:type="dxa"/>
            <w:noWrap w:val="0"/>
            <w:vAlign w:val="center"/>
          </w:tcPr>
          <w:p>
            <w:pPr>
              <w:widowControl/>
              <w:jc w:val="left"/>
              <w:rPr>
                <w:rFonts w:hint="eastAsia" w:eastAsia="仿宋_GB2312"/>
                <w:kern w:val="0"/>
                <w:sz w:val="22"/>
                <w:szCs w:val="22"/>
                <w:highlight w:val="none"/>
                <w:shd w:val="clear" w:color="auto" w:fill="auto"/>
              </w:rPr>
            </w:pPr>
            <w:r>
              <w:rPr>
                <w:rFonts w:hint="eastAsia" w:eastAsia="仿宋_GB2312"/>
                <w:kern w:val="0"/>
                <w:sz w:val="22"/>
                <w:szCs w:val="22"/>
                <w:highlight w:val="none"/>
                <w:shd w:val="clear" w:color="auto" w:fill="auto"/>
              </w:rPr>
              <w:t>按照国家要求推进水资源税费改革。</w:t>
            </w:r>
          </w:p>
        </w:tc>
        <w:tc>
          <w:tcPr>
            <w:tcW w:w="1304"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水资源局</w:t>
            </w:r>
          </w:p>
        </w:tc>
        <w:tc>
          <w:tcPr>
            <w:tcW w:w="1304" w:type="dxa"/>
            <w:noWrap w:val="0"/>
            <w:vAlign w:val="center"/>
          </w:tcPr>
          <w:p>
            <w:pPr>
              <w:widowControl/>
              <w:jc w:val="center"/>
              <w:rPr>
                <w:highlight w:val="none"/>
                <w:shd w:val="clear" w:color="auto" w:fill="auto"/>
              </w:rPr>
            </w:pPr>
            <w:r>
              <w:rPr>
                <w:rFonts w:hint="eastAsia" w:eastAsia="仿宋_GB2312"/>
                <w:kern w:val="0"/>
                <w:sz w:val="22"/>
                <w:szCs w:val="22"/>
                <w:highlight w:val="none"/>
                <w:shd w:val="clear" w:color="auto" w:fill="auto"/>
                <w:lang w:eastAsia="zh-CN"/>
              </w:rPr>
              <w:t>杨海宁</w:t>
            </w:r>
          </w:p>
        </w:tc>
        <w:tc>
          <w:tcPr>
            <w:tcW w:w="1305" w:type="dxa"/>
            <w:noWrap w:val="0"/>
            <w:vAlign w:val="center"/>
          </w:tcPr>
          <w:p>
            <w:pPr>
              <w:widowControl/>
              <w:jc w:val="center"/>
              <w:rPr>
                <w:rFonts w:hint="eastAsia" w:eastAsia="仿宋_GB2312"/>
                <w:kern w:val="0"/>
                <w:sz w:val="22"/>
                <w:szCs w:val="22"/>
                <w:highlight w:val="none"/>
                <w:shd w:val="clear" w:color="auto" w:fill="auto"/>
                <w:lang w:eastAsia="zh-CN"/>
              </w:rPr>
            </w:pPr>
            <w:r>
              <w:rPr>
                <w:rFonts w:hint="eastAsia" w:eastAsia="仿宋_GB2312"/>
                <w:kern w:val="0"/>
                <w:sz w:val="22"/>
                <w:szCs w:val="22"/>
                <w:highlight w:val="none"/>
                <w:shd w:val="clear" w:color="auto" w:fill="auto"/>
                <w:lang w:eastAsia="zh-CN"/>
              </w:rPr>
              <w:t>财务处</w:t>
            </w:r>
          </w:p>
        </w:tc>
      </w:tr>
    </w:tbl>
    <w:p>
      <w:pPr>
        <w:sectPr>
          <w:pgSz w:w="16838" w:h="11906" w:orient="landscape"/>
          <w:pgMar w:top="1803" w:right="1440" w:bottom="1803" w:left="1440" w:header="851" w:footer="992" w:gutter="0"/>
          <w:pgNumType w:fmt="numberInDash"/>
          <w:cols w:space="720" w:num="1"/>
          <w:rtlGutter w:val="0"/>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47520"/>
    <w:rsid w:val="0A24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2021-12-14T02:38:00Z</dcterms:created>
  <dc:creator>admin</dc:creator>
  <cp:lastModifiedBy>admin</cp:lastModifiedBy>
  <dcterms:modified xsi:type="dcterms:W3CDTF">2021-12-14T02:39:13Z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497A2261EF5F491CB91EE0BB854C7087</vt:lpwstr>
  </property>
</Properties>
</file>