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ind w:left="-283" w:leftChars="-135" w:firstLine="281" w:firstLineChars="88"/>
        <w:jc w:val="left"/>
        <w:rPr>
          <w:rFonts w:ascii="黑体" w:hAnsi="黑体" w:eastAsia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</w:rPr>
        <w:t>水利厅落实《</w:t>
      </w:r>
      <w:r>
        <w:rPr>
          <w:rFonts w:hint="eastAsia" w:ascii="方正小标宋简体" w:eastAsia="方正小标宋简体"/>
          <w:bCs/>
          <w:color w:val="000000"/>
          <w:kern w:val="0"/>
          <w:sz w:val="36"/>
          <w:szCs w:val="36"/>
        </w:rPr>
        <w:t>“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</w:rPr>
        <w:t>十三五</w:t>
      </w:r>
      <w:r>
        <w:rPr>
          <w:rFonts w:hint="eastAsia" w:ascii="方正小标宋简体" w:eastAsia="方正小标宋简体"/>
          <w:bCs/>
          <w:color w:val="000000"/>
          <w:kern w:val="0"/>
          <w:sz w:val="36"/>
          <w:szCs w:val="36"/>
        </w:rPr>
        <w:t>”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</w:rPr>
        <w:t>实行水资源消耗总量和强度双控行动加快推进节水型社会建设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</w:rPr>
        <w:t>实施方案》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  <w:lang w:val="en-US" w:eastAsia="zh-CN"/>
        </w:rPr>
        <w:t>2017年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</w:rPr>
        <w:t>责任分解表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  <w:lang w:eastAsia="zh-CN"/>
        </w:rPr>
        <w:t>（水利厅牵头）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173"/>
        <w:gridCol w:w="4880"/>
        <w:gridCol w:w="4387"/>
        <w:gridCol w:w="1228"/>
        <w:gridCol w:w="908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0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重点任务</w:t>
            </w:r>
          </w:p>
        </w:tc>
        <w:tc>
          <w:tcPr>
            <w:tcW w:w="43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具体工作内容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责任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责任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配合</w:t>
            </w:r>
          </w:p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47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仿宋_GB2312" w:cs="宋体"/>
                <w:kern w:val="0"/>
                <w:sz w:val="22"/>
                <w:szCs w:val="22"/>
              </w:rPr>
              <w:t>严格指标管理</w:t>
            </w:r>
          </w:p>
        </w:tc>
        <w:tc>
          <w:tcPr>
            <w:tcW w:w="48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按照国家分配的</w:t>
            </w:r>
            <w:r>
              <w:rPr>
                <w:rFonts w:eastAsia="仿宋_GB2312"/>
                <w:kern w:val="0"/>
                <w:sz w:val="22"/>
                <w:szCs w:val="22"/>
              </w:rPr>
              <w:t>2020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年自治区用水总量及强度控制目标，进一步明确各市、县（区）</w:t>
            </w:r>
            <w:r>
              <w:rPr>
                <w:rFonts w:eastAsia="仿宋_GB2312"/>
                <w:kern w:val="0"/>
                <w:sz w:val="22"/>
                <w:szCs w:val="22"/>
              </w:rPr>
              <w:t>2020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年用水总量和强度控制指标，划定各市、县（区）</w:t>
            </w:r>
            <w:r>
              <w:rPr>
                <w:rFonts w:eastAsia="仿宋_GB2312"/>
                <w:kern w:val="0"/>
                <w:sz w:val="22"/>
                <w:szCs w:val="22"/>
              </w:rPr>
              <w:t>“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十三五</w:t>
            </w:r>
            <w:r>
              <w:rPr>
                <w:rFonts w:eastAsia="仿宋_GB2312"/>
                <w:kern w:val="0"/>
                <w:sz w:val="22"/>
                <w:szCs w:val="22"/>
              </w:rPr>
              <w:t>”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水资源消耗总量和强度管控红线，严格总量指标和强度指标管理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438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将国家分配我区的</w:t>
            </w: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2020年用水总量、万元地区生产总值用水量、万元工业增加值用水量、农田灌溉水有效利用系数控制指标分解到各市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、县（区）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水资源处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李克文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水资源局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47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仿宋_GB2312" w:cs="宋体"/>
                <w:kern w:val="0"/>
                <w:sz w:val="22"/>
                <w:szCs w:val="22"/>
              </w:rPr>
              <w:t>强化目标考核</w:t>
            </w:r>
          </w:p>
        </w:tc>
        <w:tc>
          <w:tcPr>
            <w:tcW w:w="48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全面实施最严格水资源管理制度考核，逐级建立用水总量和强度控制目标责任制，完善考核评价体系，突出双控要求。考核结果纳入党政领导班子和领导干部实绩考核评价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体系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。</w:t>
            </w:r>
          </w:p>
        </w:tc>
        <w:tc>
          <w:tcPr>
            <w:tcW w:w="438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仿宋_GB2312" w:cs="宋体"/>
                <w:kern w:val="0"/>
                <w:sz w:val="22"/>
                <w:szCs w:val="22"/>
                <w:lang w:eastAsia="zh-CN"/>
              </w:rPr>
              <w:t>完成</w:t>
            </w:r>
            <w:r>
              <w:rPr>
                <w:rFonts w:hint="eastAsia" w:eastAsia="仿宋_GB2312" w:cs="宋体"/>
                <w:kern w:val="0"/>
                <w:sz w:val="22"/>
                <w:szCs w:val="22"/>
                <w:lang w:val="en-US" w:eastAsia="zh-CN"/>
              </w:rPr>
              <w:t>2016年度</w:t>
            </w:r>
            <w:r>
              <w:rPr>
                <w:rFonts w:hint="eastAsia" w:eastAsia="仿宋_GB2312" w:cs="宋体"/>
                <w:kern w:val="0"/>
                <w:sz w:val="22"/>
                <w:szCs w:val="22"/>
                <w:lang w:eastAsia="zh-CN"/>
              </w:rPr>
              <w:t>全区最严格水资源管理和节水型社会建设考核，考核结果报请自治区政府通报；突出双控要求，下达</w:t>
            </w:r>
            <w:r>
              <w:rPr>
                <w:rFonts w:hint="eastAsia" w:eastAsia="仿宋_GB2312" w:cs="宋体"/>
                <w:kern w:val="0"/>
                <w:sz w:val="22"/>
                <w:szCs w:val="22"/>
                <w:lang w:val="en-US" w:eastAsia="zh-CN"/>
              </w:rPr>
              <w:t>2017年度</w:t>
            </w:r>
            <w:r>
              <w:rPr>
                <w:rFonts w:hint="eastAsia" w:eastAsia="仿宋_GB2312" w:cs="宋体"/>
                <w:kern w:val="0"/>
                <w:sz w:val="22"/>
                <w:szCs w:val="22"/>
                <w:lang w:eastAsia="zh-CN"/>
              </w:rPr>
              <w:t>最严格水资源管理和节水型社会建设目标责任书。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水资源处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李克文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水资源局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47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仿宋_GB2312" w:cs="宋体"/>
                <w:kern w:val="0"/>
                <w:sz w:val="22"/>
                <w:szCs w:val="22"/>
              </w:rPr>
              <w:t>统筹配置和有序利用水资源</w:t>
            </w:r>
          </w:p>
        </w:tc>
        <w:tc>
          <w:tcPr>
            <w:tcW w:w="48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仿宋_GB2312" w:cs="宋体"/>
                <w:kern w:val="0"/>
                <w:sz w:val="22"/>
                <w:szCs w:val="22"/>
              </w:rPr>
              <w:t>严格落实用水总量控制，统筹协调生活、生产、生态用水，将非常规水源纳入区域水资源统一配置。</w:t>
            </w:r>
          </w:p>
        </w:tc>
        <w:tc>
          <w:tcPr>
            <w:tcW w:w="438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按照自治区下达的用水总量控制指标，严格水资源统一调度，实施黄河水、地表水、地下水和非常规水联合调配。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仿宋_GB2312" w:cs="宋体"/>
                <w:kern w:val="0"/>
                <w:sz w:val="22"/>
                <w:szCs w:val="22"/>
              </w:rPr>
              <w:t>水资源局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杨海宁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水资源处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47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4</w:t>
            </w: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48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eastAsia="仿宋_GB2312" w:cs="宋体"/>
                <w:kern w:val="0"/>
                <w:sz w:val="22"/>
                <w:szCs w:val="22"/>
              </w:rPr>
              <w:t>严控高耗水项目建设，禁止新增利用黄河水等优质水源兴建人造水景观，禁止新建高耗水低效益项目，减少水资源消耗。</w:t>
            </w:r>
          </w:p>
        </w:tc>
        <w:tc>
          <w:tcPr>
            <w:tcW w:w="43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严把高耗水建设项目水资源论证关口，对</w:t>
            </w:r>
            <w:r>
              <w:rPr>
                <w:rFonts w:hint="eastAsia" w:eastAsia="仿宋_GB2312" w:cs="宋体"/>
                <w:kern w:val="0"/>
                <w:sz w:val="22"/>
                <w:szCs w:val="22"/>
              </w:rPr>
              <w:t>利用黄河水等优质水源兴建人造水景观</w:t>
            </w:r>
            <w:r>
              <w:rPr>
                <w:rFonts w:hint="eastAsia" w:eastAsia="仿宋_GB2312" w:cs="宋体"/>
                <w:kern w:val="0"/>
                <w:sz w:val="22"/>
                <w:szCs w:val="22"/>
                <w:lang w:eastAsia="zh-CN"/>
              </w:rPr>
              <w:t>项目和</w:t>
            </w:r>
            <w:r>
              <w:rPr>
                <w:rFonts w:hint="eastAsia" w:eastAsia="仿宋_GB2312" w:cs="宋体"/>
                <w:kern w:val="0"/>
                <w:sz w:val="22"/>
                <w:szCs w:val="22"/>
              </w:rPr>
              <w:t>新建高耗水低效益项目</w:t>
            </w:r>
            <w:r>
              <w:rPr>
                <w:rFonts w:hint="eastAsia" w:eastAsia="仿宋_GB2312" w:cs="宋体"/>
                <w:kern w:val="0"/>
                <w:sz w:val="22"/>
                <w:szCs w:val="22"/>
                <w:lang w:eastAsia="zh-CN"/>
              </w:rPr>
              <w:t>不予受理。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水资源处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李克文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水资源局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47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5</w:t>
            </w: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48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推进以县域为单元开展水资源承载能力评价工作，建立预警体系，发布预警信息，强化水资源承载能力对经济社会发展的刚性约束。2018年年底前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，自治区各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县（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市、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区）完成本行政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区域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水资源承载能力评价，建立水资源承载能力预警机制。</w:t>
            </w:r>
          </w:p>
        </w:tc>
        <w:tc>
          <w:tcPr>
            <w:tcW w:w="438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编制完成《宁夏水资源承载能力报告》，指导督促各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县（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市、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区）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加快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本行政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区域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水资源承载能力评价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工作。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水资源处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李克文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水资源局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、水文局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47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6</w:t>
            </w: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48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严格落实规划水资源论证制度，区域发展应充分考虑水资源承载能力，以水定城、以水定地、以水定人、以水定产。重点推进重大产业布局和各类开发区规划水资源论证。</w:t>
            </w:r>
          </w:p>
        </w:tc>
        <w:tc>
          <w:tcPr>
            <w:tcW w:w="438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仿宋_GB2312" w:cs="宋体"/>
                <w:kern w:val="0"/>
                <w:sz w:val="22"/>
                <w:szCs w:val="22"/>
                <w:lang w:eastAsia="zh-CN"/>
              </w:rPr>
              <w:t>坚持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以水定城、以水定地、以水定人、以水定产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的原则，严格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规划水资源论证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eastAsia="仿宋_GB2312" w:cs="宋体"/>
                <w:kern w:val="0"/>
                <w:sz w:val="22"/>
                <w:szCs w:val="22"/>
                <w:lang w:eastAsia="zh-CN"/>
              </w:rPr>
              <w:t>协调自治区有关部门，实施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重大产业布局和各类开发区规划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水资源论证。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水资源处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李克文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水资源局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47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7</w:t>
            </w: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48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严格落实取水许可制度。强化建设项目水资源论证，从严核定许可水量，对取用水总量已达到或超过控制指标的地区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暂停审批其建设项目新增取水许可。新建、改建、扩建项目用水要达到行业先进水平，节水设施应与主体工程同时设计、同时施工、同时投运。</w:t>
            </w:r>
          </w:p>
        </w:tc>
        <w:tc>
          <w:tcPr>
            <w:tcW w:w="438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严格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建设项目水资源论证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，严格取水许可审批，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取用水总量已达到或超过控制指标的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市、县（区），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暂停审批其建设项目新增取水许可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；不符合《宁夏回族自治区建设项目节水设施“三同时”管理办法》要求的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新建、改建、扩建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项目，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暂停审批其新增取水许可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水资源处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李克文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水资源局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  <w:jc w:val="center"/>
        </w:trPr>
        <w:tc>
          <w:tcPr>
            <w:tcW w:w="47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8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仿宋_GB2312" w:cs="宋体"/>
                <w:kern w:val="0"/>
                <w:sz w:val="22"/>
                <w:szCs w:val="22"/>
              </w:rPr>
              <w:t>全面实行计划用水管理</w:t>
            </w:r>
          </w:p>
        </w:tc>
        <w:tc>
          <w:tcPr>
            <w:tcW w:w="48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严格落实国家、自治区计划用水管理办法，强化用水计划管理。</w:t>
            </w:r>
            <w:r>
              <w:rPr>
                <w:rFonts w:eastAsia="仿宋_GB2312"/>
                <w:kern w:val="0"/>
                <w:sz w:val="22"/>
                <w:szCs w:val="22"/>
              </w:rPr>
              <w:t>2017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年起，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自治区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各级水行政主管部门要会同有关部门，按照取水许可分级管理权限，对纳入取水许可管理的取用水单位全面推行计划用水管理，每年依据双控指标和自治区发布的行业用水定额标准，严格核定年度取用水计划。定期发布重点监控用水单位名录，大中型灌区农业取用水计划管理率达到</w:t>
            </w:r>
            <w:r>
              <w:rPr>
                <w:rFonts w:eastAsia="仿宋_GB2312"/>
                <w:kern w:val="0"/>
                <w:sz w:val="22"/>
                <w:szCs w:val="22"/>
              </w:rPr>
              <w:t>80%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。</w:t>
            </w:r>
          </w:p>
        </w:tc>
        <w:tc>
          <w:tcPr>
            <w:tcW w:w="43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按照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双控指标和自治区发布的行业用水定额标准，严格核定年度取用水计划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，逐月下达主要工业企业黄河水取水计划，自治区级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取水许可管理的取用水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户计划用水管理率达到</w:t>
            </w: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100%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大中型灌区农业取用水计划管理率达到</w:t>
            </w:r>
            <w:r>
              <w:rPr>
                <w:rFonts w:eastAsia="仿宋_GB2312"/>
                <w:kern w:val="0"/>
                <w:sz w:val="22"/>
                <w:szCs w:val="22"/>
              </w:rPr>
              <w:t>80%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水资源局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杨海宁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水资源处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7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9</w:t>
            </w: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48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加强入河湖排污口监督管理，严格入河湖排污口设置审批。对排污量超出水功能区限排总量的地区，限制审批新增取水和入河湖排污口。</w:t>
            </w:r>
          </w:p>
        </w:tc>
        <w:tc>
          <w:tcPr>
            <w:tcW w:w="43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对排污量超出水功能区限排总量的地区，限制审批新增取水和入河湖排污口。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水资源处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李克文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水资源局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  <w:jc w:val="center"/>
        </w:trPr>
        <w:tc>
          <w:tcPr>
            <w:tcW w:w="47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仿宋_GB2312" w:cs="宋体"/>
                <w:kern w:val="0"/>
                <w:sz w:val="22"/>
                <w:szCs w:val="22"/>
              </w:rPr>
              <w:t>严格地下水资源管理</w:t>
            </w:r>
          </w:p>
        </w:tc>
        <w:tc>
          <w:tcPr>
            <w:tcW w:w="48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实行地下水取用水总量和水位</w:t>
            </w:r>
            <w:r>
              <w:rPr>
                <w:rFonts w:eastAsia="仿宋_GB2312"/>
                <w:kern w:val="0"/>
                <w:sz w:val="22"/>
                <w:szCs w:val="22"/>
              </w:rPr>
              <w:t>“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双控制</w:t>
            </w:r>
            <w:r>
              <w:rPr>
                <w:rFonts w:eastAsia="仿宋_GB2312"/>
                <w:kern w:val="0"/>
                <w:sz w:val="22"/>
                <w:szCs w:val="22"/>
              </w:rPr>
              <w:t>”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。建立地下水监测网络，加强地下水动态监测，依法规范机井建设管理，禁止取用地下水发展高耗水产业，禁止超采区内工农业生产及服务业新增取用地下水，严控地下水漏斗区新增取用承压水。</w:t>
            </w:r>
            <w:r>
              <w:rPr>
                <w:rFonts w:eastAsia="仿宋_GB2312"/>
                <w:kern w:val="0"/>
                <w:sz w:val="22"/>
                <w:szCs w:val="22"/>
              </w:rPr>
              <w:t>2017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年年底前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未经批准的取水井和公共供水管网覆盖范围内自备井一律予以关闭。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加快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银川市、石嘴山市地下水超采区综合治理，</w:t>
            </w:r>
            <w:r>
              <w:rPr>
                <w:rFonts w:eastAsia="仿宋_GB2312"/>
                <w:kern w:val="0"/>
                <w:sz w:val="22"/>
                <w:szCs w:val="22"/>
              </w:rPr>
              <w:t>2017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年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银川市、石嘴山市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要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完成超采区地下水压减任务，到</w:t>
            </w:r>
            <w:r>
              <w:rPr>
                <w:rFonts w:eastAsia="仿宋_GB2312"/>
                <w:kern w:val="0"/>
                <w:sz w:val="22"/>
                <w:szCs w:val="22"/>
              </w:rPr>
              <w:t>2020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年基本实现地下水采补平衡。</w:t>
            </w:r>
          </w:p>
        </w:tc>
        <w:tc>
          <w:tcPr>
            <w:tcW w:w="43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严格年取用地下水</w:t>
            </w: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300万立方米以上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建设项目取水许可审批，对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取用地下水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的高耗水项目和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超采区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内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新增取用地下水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的工农业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生产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和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服务业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项目一律不予审批。督促各市、县（区）加快关闭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公共供水管网覆盖范围内自备井，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列入关闭计划的自备井一律关闭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。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水资源处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李克文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水资源局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47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11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仿宋_GB2312" w:cs="宋体"/>
                <w:kern w:val="0"/>
                <w:sz w:val="22"/>
                <w:szCs w:val="22"/>
              </w:rPr>
              <w:t>提升水资源计量监控能力</w:t>
            </w:r>
          </w:p>
        </w:tc>
        <w:tc>
          <w:tcPr>
            <w:tcW w:w="48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加快实施国家水资源监控能力建设，以大中型灌区和工业园区取用水监控为重点，推进取用水监控平台建设。积极推广智能水表，鼓励重点取用水企业建立水量在线采集、实时监测系统。到</w:t>
            </w:r>
            <w:r>
              <w:rPr>
                <w:rFonts w:eastAsia="仿宋_GB2312"/>
                <w:kern w:val="0"/>
                <w:sz w:val="22"/>
                <w:szCs w:val="22"/>
              </w:rPr>
              <w:t>2020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年，年取水量</w:t>
            </w:r>
            <w:r>
              <w:rPr>
                <w:rFonts w:eastAsia="仿宋_GB2312"/>
                <w:kern w:val="0"/>
                <w:sz w:val="22"/>
                <w:szCs w:val="22"/>
              </w:rPr>
              <w:t>50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万立方米以上的工业取水户、</w:t>
            </w:r>
            <w:r>
              <w:rPr>
                <w:rFonts w:eastAsia="仿宋_GB2312"/>
                <w:kern w:val="0"/>
                <w:sz w:val="22"/>
                <w:szCs w:val="22"/>
              </w:rPr>
              <w:t>100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万立方米以上的公共供水取水户及大中型灌区渠首取水计量率达到</w:t>
            </w:r>
            <w:r>
              <w:rPr>
                <w:rFonts w:eastAsia="仿宋_GB2312"/>
                <w:kern w:val="0"/>
                <w:sz w:val="22"/>
                <w:szCs w:val="22"/>
              </w:rPr>
              <w:t>100%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，并依托自治区电子政务云平台和政务大数据服务平台，实现互联互通和资源共享。</w:t>
            </w:r>
          </w:p>
        </w:tc>
        <w:tc>
          <w:tcPr>
            <w:tcW w:w="43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val="zh-CN"/>
              </w:rPr>
              <w:t>选取银川市、中卫市、固原市地表取水年许可取水量在10万m</w:t>
            </w:r>
            <w:r>
              <w:rPr>
                <w:rFonts w:hint="eastAsia" w:eastAsia="仿宋_GB2312"/>
                <w:kern w:val="0"/>
                <w:sz w:val="22"/>
                <w:szCs w:val="22"/>
                <w:vertAlign w:val="superscript"/>
                <w:lang w:val="zh-CN"/>
              </w:rPr>
              <w:t>3</w:t>
            </w:r>
            <w:r>
              <w:rPr>
                <w:rFonts w:hint="eastAsia" w:eastAsia="仿宋_GB2312"/>
                <w:kern w:val="0"/>
                <w:sz w:val="22"/>
                <w:szCs w:val="22"/>
                <w:lang w:val="zh-CN"/>
              </w:rPr>
              <w:t>以上、地下取水年许可取水量在5万m</w:t>
            </w:r>
            <w:r>
              <w:rPr>
                <w:rFonts w:hint="eastAsia" w:eastAsia="仿宋_GB2312"/>
                <w:kern w:val="0"/>
                <w:sz w:val="22"/>
                <w:szCs w:val="22"/>
                <w:vertAlign w:val="superscript"/>
                <w:lang w:val="zh-CN"/>
              </w:rPr>
              <w:t>3</w:t>
            </w:r>
            <w:r>
              <w:rPr>
                <w:rFonts w:hint="eastAsia" w:eastAsia="仿宋_GB2312"/>
                <w:kern w:val="0"/>
                <w:sz w:val="22"/>
                <w:szCs w:val="22"/>
                <w:lang w:val="zh-CN"/>
              </w:rPr>
              <w:t>以上的取用水户进行在线监测，建设247个监测点；建设5个水源地水质在线监测点；实施水资源管理信息平台建设，建设节水型社会管理系统、水权水价改革支撑系统、考核支撑管理系统、农业用水效率管理系统和移动终端管理平台。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水资源处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李克文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信息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47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12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仿宋_GB2312" w:cs="宋体"/>
                <w:kern w:val="0"/>
                <w:sz w:val="22"/>
                <w:szCs w:val="22"/>
              </w:rPr>
              <w:t>实施农业节水领跑行动</w:t>
            </w:r>
          </w:p>
        </w:tc>
        <w:tc>
          <w:tcPr>
            <w:tcW w:w="48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积极推广滴灌、喷灌等先进高效节水灌溉和水肥药一体化技术，年均发展高效节水灌溉</w:t>
            </w:r>
            <w:r>
              <w:rPr>
                <w:rFonts w:eastAsia="仿宋_GB2312"/>
                <w:kern w:val="0"/>
                <w:sz w:val="22"/>
                <w:szCs w:val="22"/>
              </w:rPr>
              <w:t>35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万亩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。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到</w:t>
            </w:r>
            <w:r>
              <w:rPr>
                <w:rFonts w:eastAsia="仿宋_GB2312"/>
                <w:kern w:val="0"/>
                <w:sz w:val="22"/>
                <w:szCs w:val="22"/>
              </w:rPr>
              <w:t>2020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年，全区高效节水灌溉面积达到</w:t>
            </w:r>
            <w:r>
              <w:rPr>
                <w:rFonts w:eastAsia="仿宋_GB2312"/>
                <w:kern w:val="0"/>
                <w:sz w:val="22"/>
                <w:szCs w:val="22"/>
              </w:rPr>
              <w:t>400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万亩左右，自流灌区、扬水灌区和库井灌区高效节水灌溉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比例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基本达到</w:t>
            </w:r>
            <w:r>
              <w:rPr>
                <w:rFonts w:eastAsia="仿宋_GB2312"/>
                <w:kern w:val="0"/>
                <w:sz w:val="22"/>
                <w:szCs w:val="22"/>
              </w:rPr>
              <w:t>40%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、</w:t>
            </w:r>
            <w:r>
              <w:rPr>
                <w:rFonts w:eastAsia="仿宋_GB2312"/>
                <w:kern w:val="0"/>
                <w:sz w:val="22"/>
                <w:szCs w:val="22"/>
              </w:rPr>
              <w:t>70%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和</w:t>
            </w:r>
            <w:r>
              <w:rPr>
                <w:rFonts w:eastAsia="仿宋_GB2312"/>
                <w:kern w:val="0"/>
                <w:sz w:val="22"/>
                <w:szCs w:val="22"/>
              </w:rPr>
              <w:t>90%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。</w:t>
            </w:r>
          </w:p>
        </w:tc>
        <w:tc>
          <w:tcPr>
            <w:tcW w:w="43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发展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高效节水灌溉36 万亩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对集中连片的水肥一体化滴喷灌高效节水灌溉工程实行“先建后补”。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农水处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徐宁红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农建中心</w:t>
            </w: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4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48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加快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大中型灌区续建配套与节水改造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438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砌护惠农渠等干渠及改造配套建筑物。 按计划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实施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2017 年度续建配套和节水改造建设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，年底前完成年度建设任务的</w:t>
            </w: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90%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。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水资源局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杨海宁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农建中心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47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48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2017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年编制完成《宁夏引黄灌区高效节水现代化建设规划》，启动实施青铜峡、沙坡头、七星渠、固海和红寺堡扬水</w:t>
            </w:r>
            <w:r>
              <w:rPr>
                <w:rFonts w:eastAsia="仿宋_GB2312"/>
                <w:kern w:val="0"/>
                <w:sz w:val="22"/>
                <w:szCs w:val="22"/>
              </w:rPr>
              <w:t>5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大现代化灌区试点工程建设。</w:t>
            </w:r>
          </w:p>
        </w:tc>
        <w:tc>
          <w:tcPr>
            <w:tcW w:w="43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编制完成《宁夏引黄灌区高效节水现代化建设规划》，启动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开展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现代化灌区试点工程建设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前期工作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。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计划处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王景山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水资源局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47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仿宋_GB2312" w:cs="宋体"/>
                <w:kern w:val="0"/>
                <w:sz w:val="22"/>
                <w:szCs w:val="22"/>
              </w:rPr>
              <w:t>实施工业节水增效行动</w:t>
            </w:r>
          </w:p>
        </w:tc>
        <w:tc>
          <w:tcPr>
            <w:tcW w:w="48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设定工业项目水耗准入门槛，严控高耗水工业项目建设，重点实施煤化工、冶金、火电、化工、纺织、造纸、食品等高耗水工业行业节水技术改造。修订《宁夏回族自治区节水型企业评价标准》，制订《宁夏回族自治区节水型工业园区评价标准》，将重点企业节水纳入节能减排考核体系，各市、县（区）完成重点用水单位监控名录。</w:t>
            </w:r>
          </w:p>
        </w:tc>
        <w:tc>
          <w:tcPr>
            <w:tcW w:w="438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修订完成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《宁夏回族自治区节水型企业评价标准》，制订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完成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《宁夏回族自治区节水型工业园区评价标准》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水资源局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杨海宁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水资源处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科教处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47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仿宋_GB2312" w:cs="宋体"/>
                <w:kern w:val="0"/>
                <w:sz w:val="22"/>
                <w:szCs w:val="22"/>
              </w:rPr>
              <w:t>实施城市节水普及行动</w:t>
            </w:r>
          </w:p>
        </w:tc>
        <w:tc>
          <w:tcPr>
            <w:tcW w:w="48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eastAsia="仿宋_GB2312" w:cs="宋体"/>
                <w:kern w:val="0"/>
                <w:sz w:val="22"/>
                <w:szCs w:val="22"/>
              </w:rPr>
              <w:t>全面开展城市、县（区）、公共机构节水达标建设。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到</w:t>
            </w:r>
            <w:r>
              <w:rPr>
                <w:rFonts w:eastAsia="仿宋_GB2312"/>
                <w:kern w:val="0"/>
                <w:sz w:val="22"/>
                <w:szCs w:val="22"/>
              </w:rPr>
              <w:t>2018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年，各地级市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行政区域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内</w:t>
            </w:r>
            <w:r>
              <w:rPr>
                <w:rFonts w:eastAsia="仿宋_GB2312"/>
                <w:kern w:val="0"/>
                <w:sz w:val="22"/>
                <w:szCs w:val="22"/>
              </w:rPr>
              <w:t>70%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的县（区）开展节水型县（区）建设；到</w:t>
            </w:r>
            <w:r>
              <w:rPr>
                <w:rFonts w:eastAsia="仿宋_GB2312"/>
                <w:kern w:val="0"/>
                <w:sz w:val="22"/>
                <w:szCs w:val="22"/>
              </w:rPr>
              <w:t>2020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年，绿色建筑占新建建筑比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率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达到</w:t>
            </w:r>
            <w:r>
              <w:rPr>
                <w:rFonts w:eastAsia="仿宋_GB2312"/>
                <w:kern w:val="0"/>
                <w:sz w:val="22"/>
                <w:szCs w:val="22"/>
              </w:rPr>
              <w:t>50%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，</w:t>
            </w:r>
            <w:r>
              <w:rPr>
                <w:rFonts w:eastAsia="仿宋_GB2312"/>
                <w:kern w:val="0"/>
                <w:sz w:val="22"/>
                <w:szCs w:val="22"/>
              </w:rPr>
              <w:t>5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个地级市建成国家节水型城市、</w:t>
            </w:r>
            <w:r>
              <w:rPr>
                <w:rFonts w:eastAsia="仿宋_GB2312"/>
                <w:kern w:val="0"/>
                <w:sz w:val="22"/>
                <w:szCs w:val="22"/>
              </w:rPr>
              <w:t>70%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的县（区）建成节水型县（区），全区公共供水管网漏失率控制在</w:t>
            </w:r>
            <w:r>
              <w:rPr>
                <w:rFonts w:eastAsia="仿宋_GB2312"/>
                <w:kern w:val="0"/>
                <w:sz w:val="22"/>
                <w:szCs w:val="22"/>
              </w:rPr>
              <w:t>10%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以内。</w:t>
            </w:r>
          </w:p>
        </w:tc>
        <w:tc>
          <w:tcPr>
            <w:tcW w:w="43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督促各市组织县（区）申报创建节水型县（区），力争再启动</w:t>
            </w: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1~2个县（区）开展达标建设；联合自治区政府机关事务管理局下达2017年自治区公共机构节水型单位建设任务，力争60%的自治区机关建成节水型单位。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水资源局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杨海宁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水资源处</w:t>
            </w: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4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仿宋_GB2312" w:cs="宋体"/>
                <w:kern w:val="0"/>
                <w:sz w:val="22"/>
                <w:szCs w:val="22"/>
              </w:rPr>
              <w:t>实施全民节水文明行动</w:t>
            </w:r>
          </w:p>
        </w:tc>
        <w:tc>
          <w:tcPr>
            <w:tcW w:w="48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每年利用</w:t>
            </w:r>
            <w:r>
              <w:rPr>
                <w:rFonts w:eastAsia="仿宋_GB2312"/>
                <w:kern w:val="0"/>
                <w:sz w:val="22"/>
                <w:szCs w:val="22"/>
              </w:rPr>
              <w:t>“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世界水日</w:t>
            </w:r>
            <w:r>
              <w:rPr>
                <w:rFonts w:eastAsia="仿宋_GB2312"/>
                <w:kern w:val="0"/>
                <w:sz w:val="22"/>
                <w:szCs w:val="22"/>
              </w:rPr>
              <w:t>”“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中国水周</w:t>
            </w:r>
            <w:r>
              <w:rPr>
                <w:rFonts w:eastAsia="仿宋_GB2312"/>
                <w:kern w:val="0"/>
                <w:sz w:val="22"/>
                <w:szCs w:val="22"/>
              </w:rPr>
              <w:t>”“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全国城市节水宣传周</w:t>
            </w:r>
            <w:r>
              <w:rPr>
                <w:rFonts w:eastAsia="仿宋_GB2312"/>
                <w:kern w:val="0"/>
                <w:sz w:val="22"/>
                <w:szCs w:val="22"/>
              </w:rPr>
              <w:t>”“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全国节能宣传周</w:t>
            </w:r>
            <w:r>
              <w:rPr>
                <w:rFonts w:eastAsia="仿宋_GB2312"/>
                <w:kern w:val="0"/>
                <w:sz w:val="22"/>
                <w:szCs w:val="22"/>
              </w:rPr>
              <w:t>”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等大型活动，集中开展深度采访、典型报道，广泛开展区情、水情宣传。</w:t>
            </w:r>
          </w:p>
        </w:tc>
        <w:tc>
          <w:tcPr>
            <w:tcW w:w="438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联系自治区主流媒体，开展</w:t>
            </w: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2017年</w:t>
            </w:r>
            <w:r>
              <w:rPr>
                <w:rFonts w:eastAsia="仿宋_GB2312"/>
                <w:kern w:val="0"/>
                <w:sz w:val="22"/>
                <w:szCs w:val="22"/>
              </w:rPr>
              <w:t>“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世界水日</w:t>
            </w:r>
            <w:r>
              <w:rPr>
                <w:rFonts w:eastAsia="仿宋_GB2312"/>
                <w:kern w:val="0"/>
                <w:sz w:val="22"/>
                <w:szCs w:val="22"/>
              </w:rPr>
              <w:t>”“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中国水周</w:t>
            </w:r>
            <w:r>
              <w:rPr>
                <w:rFonts w:eastAsia="仿宋_GB2312"/>
                <w:kern w:val="0"/>
                <w:sz w:val="22"/>
                <w:szCs w:val="22"/>
              </w:rPr>
              <w:t>”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集中宣传报道；启动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“保护母亲河建设美丽宁夏”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节水护水志愿服务行动。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办公室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王岚海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团委</w:t>
            </w:r>
          </w:p>
          <w:p>
            <w:pPr>
              <w:widowControl/>
              <w:jc w:val="center"/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水资源处</w:t>
            </w:r>
          </w:p>
          <w:p>
            <w:pPr>
              <w:widowControl/>
              <w:jc w:val="center"/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水资源局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47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48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扎实开展中小学校</w:t>
            </w:r>
            <w:r>
              <w:rPr>
                <w:rFonts w:eastAsia="仿宋_GB2312"/>
                <w:kern w:val="0"/>
                <w:sz w:val="22"/>
                <w:szCs w:val="22"/>
              </w:rPr>
              <w:t>“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六个一</w:t>
            </w:r>
            <w:r>
              <w:rPr>
                <w:rFonts w:eastAsia="仿宋_GB2312"/>
                <w:kern w:val="0"/>
                <w:sz w:val="22"/>
                <w:szCs w:val="22"/>
              </w:rPr>
              <w:t>”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节水主题宣传教育实践活动和幼儿园</w:t>
            </w:r>
            <w:r>
              <w:rPr>
                <w:rFonts w:eastAsia="仿宋_GB2312"/>
                <w:kern w:val="0"/>
                <w:sz w:val="22"/>
                <w:szCs w:val="22"/>
              </w:rPr>
              <w:t>“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节水主题周</w:t>
            </w:r>
            <w:r>
              <w:rPr>
                <w:rFonts w:eastAsia="仿宋_GB2312"/>
                <w:kern w:val="0"/>
                <w:sz w:val="22"/>
                <w:szCs w:val="22"/>
              </w:rPr>
              <w:t>”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宣传教育实践活动。节水教育社会实践基地和科技场馆要加强节水展示平台建设，通过集中展示、互动体验等方式，传播节约用水知识，倡导节约用水理念。到</w:t>
            </w:r>
            <w:r>
              <w:rPr>
                <w:rFonts w:eastAsia="仿宋_GB2312"/>
                <w:kern w:val="0"/>
                <w:sz w:val="22"/>
                <w:szCs w:val="22"/>
              </w:rPr>
              <w:t>2020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年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各地级市至少建立</w:t>
            </w: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处节水教育社会实践基地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43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联系自治区教育厅等部门，继续开展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中小学校</w:t>
            </w:r>
            <w:r>
              <w:rPr>
                <w:rFonts w:eastAsia="仿宋_GB2312"/>
                <w:kern w:val="0"/>
                <w:sz w:val="22"/>
                <w:szCs w:val="22"/>
              </w:rPr>
              <w:t>“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六个一</w:t>
            </w:r>
            <w:r>
              <w:rPr>
                <w:rFonts w:eastAsia="仿宋_GB2312"/>
                <w:kern w:val="0"/>
                <w:sz w:val="22"/>
                <w:szCs w:val="22"/>
              </w:rPr>
              <w:t>”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节水主题宣传教育实践活动和幼儿园</w:t>
            </w:r>
            <w:r>
              <w:rPr>
                <w:rFonts w:eastAsia="仿宋_GB2312"/>
                <w:kern w:val="0"/>
                <w:sz w:val="22"/>
                <w:szCs w:val="22"/>
              </w:rPr>
              <w:t>“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节水主题周</w:t>
            </w:r>
            <w:r>
              <w:rPr>
                <w:rFonts w:eastAsia="仿宋_GB2312"/>
                <w:kern w:val="0"/>
                <w:sz w:val="22"/>
                <w:szCs w:val="22"/>
              </w:rPr>
              <w:t>”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宣传教育实践活动。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督促各市积极筹备建立节水教育社会实践基地。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水资源局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杨海宁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水资源处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科教处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47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仿宋_GB2312" w:cs="宋体"/>
                <w:kern w:val="0"/>
                <w:sz w:val="22"/>
                <w:szCs w:val="22"/>
              </w:rPr>
              <w:t>稳步推进水价改革</w:t>
            </w:r>
          </w:p>
        </w:tc>
        <w:tc>
          <w:tcPr>
            <w:tcW w:w="48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认真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贯彻落实《国务院办公厅关于推进农业水价综合改革的意见》（国办发〔</w:t>
            </w:r>
            <w:r>
              <w:rPr>
                <w:rFonts w:eastAsia="仿宋_GB2312"/>
                <w:kern w:val="0"/>
                <w:sz w:val="22"/>
                <w:szCs w:val="22"/>
              </w:rPr>
              <w:t>2016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〕</w:t>
            </w:r>
            <w:r>
              <w:rPr>
                <w:rFonts w:eastAsia="仿宋_GB2312"/>
                <w:kern w:val="0"/>
                <w:sz w:val="22"/>
                <w:szCs w:val="22"/>
              </w:rPr>
              <w:t>2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号），</w:t>
            </w:r>
            <w:r>
              <w:rPr>
                <w:rFonts w:eastAsia="仿宋_GB2312"/>
                <w:kern w:val="0"/>
                <w:sz w:val="22"/>
                <w:szCs w:val="22"/>
              </w:rPr>
              <w:t>2017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年全面启动农业水价综合改革，自治区出台《宁夏引黄灌区骨干水利工程价格调整方案》。到</w:t>
            </w:r>
            <w:r>
              <w:rPr>
                <w:rFonts w:eastAsia="仿宋_GB2312"/>
                <w:kern w:val="0"/>
                <w:sz w:val="22"/>
                <w:szCs w:val="22"/>
              </w:rPr>
              <w:t>2021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年，基本建立促进节水的农业水价形成机制，北部引黄自流灌区农业水价达到维护运行成本水平，扬黄灌区、库井灌区农业水价达到运行维护成本的</w:t>
            </w:r>
            <w:r>
              <w:rPr>
                <w:rFonts w:eastAsia="仿宋_GB2312"/>
                <w:kern w:val="0"/>
                <w:sz w:val="22"/>
                <w:szCs w:val="22"/>
              </w:rPr>
              <w:t>70%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以上，经营性水利工程水价达到完全成本，分类水价普遍实行，初步建立农业用水精准补贴机制。</w:t>
            </w:r>
          </w:p>
        </w:tc>
        <w:tc>
          <w:tcPr>
            <w:tcW w:w="43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编制完成并报请自治区政府出台《宁夏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农业水价综合改革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实施方案》，召开全区农业水价综合改革启动会议，举办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农业水价综合改革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工作培训班；编制完成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《宁夏引黄灌区骨干水利工程价格调整方案》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，制订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节水奖励和精准补贴办法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水资源局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杨海宁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47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48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438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督促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市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县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（区）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出台引黄灌区支渠以下末级渠系和库井灌区供水价格调整方案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农水处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徐宁红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4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48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严格水资源费征收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438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按照水资源费征收标准，及时征收水资源费。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水资源局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杨海宁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财务处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水资源处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47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</w:t>
            </w: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仿宋_GB2312" w:cs="宋体"/>
                <w:kern w:val="0"/>
                <w:sz w:val="22"/>
                <w:szCs w:val="22"/>
              </w:rPr>
              <w:t>建立完善水权交易市场</w:t>
            </w:r>
          </w:p>
        </w:tc>
        <w:tc>
          <w:tcPr>
            <w:tcW w:w="48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鼓励用水户对节约的水权进行交易，通过市场机制促进水资源使用权在用水户间、行业间、区域间流转，实现水资源优化配置和节约保护。</w:t>
            </w:r>
            <w:r>
              <w:rPr>
                <w:rFonts w:eastAsia="仿宋_GB2312"/>
                <w:kern w:val="0"/>
                <w:sz w:val="22"/>
                <w:szCs w:val="22"/>
              </w:rPr>
              <w:t>2017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年制定出台《宁夏回族自治区水权交易管理办法》，构建水权交易平台，成立水权交易机构。</w:t>
            </w:r>
          </w:p>
        </w:tc>
        <w:tc>
          <w:tcPr>
            <w:tcW w:w="43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制定出台《宁夏回族自治区水权交易管理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暂行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办法》，成立水权交易机构。构建水权交易平台，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指导市县开展水权交易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。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水资源处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李克文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水文局、水资源局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47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</w:t>
            </w: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仿宋_GB2312" w:cs="宋体"/>
                <w:kern w:val="0"/>
                <w:sz w:val="22"/>
                <w:szCs w:val="22"/>
              </w:rPr>
              <w:t>健全完善节水激励机制</w:t>
            </w:r>
          </w:p>
        </w:tc>
        <w:tc>
          <w:tcPr>
            <w:tcW w:w="48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建立健全节约用水奖惩机制，实行节奖超罚、多节多奖、分级奖励，鼓励市、县（区）、各行业用水户节约用水。</w:t>
            </w:r>
          </w:p>
        </w:tc>
        <w:tc>
          <w:tcPr>
            <w:tcW w:w="43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制订《宁夏节约用水奖惩暂行办法实施细则》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，完善节水奖惩机制，对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节约用水的县（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市、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区）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、最严格水资源管理与节水型社会建设考核优秀等进行奖励。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</w:rPr>
              <w:t>水资源局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杨海宁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水资源处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财务处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8686B"/>
    <w:rsid w:val="7C28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2021-12-14T02:36:00Z</dcterms:created>
  <dc:creator>admin</dc:creator>
  <cp:lastModifiedBy>admin</cp:lastModifiedBy>
  <dcterms:modified xsi:type="dcterms:W3CDTF">2021-12-14T02:38:07Z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AD31F259E3B34409BFEB507A8ED57B24</vt:lpwstr>
  </property>
</Properties>
</file>