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5FE9">
      <w:pPr>
        <w:pStyle w:val="5"/>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14:paraId="2C69BEC3">
      <w:pPr>
        <w:pStyle w:val="4"/>
        <w:widowControl/>
        <w:ind w:left="0" w:leftChars="0" w:firstLine="0" w:firstLineChars="0"/>
        <w:jc w:val="center"/>
        <w:rPr>
          <w:rFonts w:hint="eastAsia" w:ascii="方正小标宋_GBK" w:hAnsi="方正小标宋_GBK" w:eastAsia="方正小标宋_GBK" w:cs="方正小标宋_GBK"/>
          <w:i w:val="0"/>
          <w:iCs w:val="0"/>
          <w:color w:val="000000"/>
          <w:kern w:val="0"/>
          <w:sz w:val="44"/>
          <w:szCs w:val="44"/>
        </w:rPr>
      </w:pPr>
      <w:bookmarkStart w:id="0" w:name="_GoBack"/>
      <w:r>
        <w:rPr>
          <w:rFonts w:hint="eastAsia" w:eastAsia="方正小标宋_GBK" w:cs="Times New Roman"/>
          <w:color w:val="000000"/>
          <w:spacing w:val="0"/>
          <w:kern w:val="2"/>
          <w:sz w:val="44"/>
          <w:szCs w:val="44"/>
          <w:highlight w:val="none"/>
          <w:lang w:val="en-US" w:eastAsia="zh-CN" w:bidi="ar"/>
        </w:rPr>
        <w:t>自治区违规取水用水排水治理行动</w:t>
      </w:r>
      <w:r>
        <w:rPr>
          <w:rFonts w:hint="eastAsia" w:ascii="方正小标宋_GBK" w:hAnsi="方正小标宋_GBK" w:eastAsia="方正小标宋_GBK" w:cs="方正小标宋_GBK"/>
          <w:i w:val="0"/>
          <w:iCs w:val="0"/>
          <w:color w:val="000000"/>
          <w:kern w:val="0"/>
          <w:sz w:val="44"/>
          <w:szCs w:val="44"/>
        </w:rPr>
        <w:t>重点措施完成情况调度表</w:t>
      </w:r>
    </w:p>
    <w:bookmarkEnd w:id="0"/>
    <w:tbl>
      <w:tblPr>
        <w:tblStyle w:val="6"/>
        <w:tblW w:w="5025" w:type="pct"/>
        <w:tblInd w:w="0" w:type="dxa"/>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Layout w:type="autofit"/>
        <w:tblCellMar>
          <w:top w:w="0" w:type="dxa"/>
          <w:left w:w="108" w:type="dxa"/>
          <w:bottom w:w="0" w:type="dxa"/>
          <w:right w:w="108" w:type="dxa"/>
        </w:tblCellMar>
      </w:tblPr>
      <w:tblGrid>
        <w:gridCol w:w="462"/>
        <w:gridCol w:w="1093"/>
        <w:gridCol w:w="4103"/>
        <w:gridCol w:w="6085"/>
        <w:gridCol w:w="1294"/>
      </w:tblGrid>
      <w:tr w14:paraId="27B7DCF4">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586"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73B1DE4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序号</w:t>
            </w:r>
          </w:p>
        </w:tc>
        <w:tc>
          <w:tcPr>
            <w:tcW w:w="419" w:type="pct"/>
            <w:tcBorders>
              <w:top w:val="single" w:color="FF0000" w:sz="6" w:space="0"/>
              <w:left w:val="single" w:color="FF0000" w:sz="6" w:space="0"/>
              <w:bottom w:val="single" w:color="FF0000" w:sz="6" w:space="0"/>
              <w:right w:val="single" w:color="FF0000" w:sz="6" w:space="0"/>
            </w:tcBorders>
            <w:noWrap w:val="0"/>
            <w:vAlign w:val="center"/>
          </w:tcPr>
          <w:p w14:paraId="327760A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重点措施</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1D3C86E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落实举措</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97CBD2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工作推进情况</w:t>
            </w:r>
            <w:r>
              <w:rPr>
                <w:rFonts w:hint="eastAsia" w:ascii="黑体" w:hAnsi="宋体" w:eastAsia="黑体" w:cs="黑体"/>
                <w:i w:val="0"/>
                <w:iCs w:val="0"/>
                <w:color w:val="000000"/>
                <w:kern w:val="0"/>
                <w:sz w:val="21"/>
                <w:szCs w:val="21"/>
                <w:u w:val="none"/>
                <w:lang w:val="en-US" w:eastAsia="zh-CN" w:bidi="ar"/>
              </w:rPr>
              <w:t>（截至*月底）</w:t>
            </w: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7985C60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0"/>
                <w:sz w:val="21"/>
                <w:szCs w:val="21"/>
              </w:rPr>
            </w:pPr>
            <w:r>
              <w:rPr>
                <w:rFonts w:hint="default" w:ascii="黑体" w:hAnsi="宋体" w:eastAsia="黑体" w:cs="黑体"/>
                <w:i w:val="0"/>
                <w:iCs w:val="0"/>
                <w:color w:val="000000"/>
                <w:kern w:val="0"/>
                <w:sz w:val="21"/>
                <w:szCs w:val="21"/>
                <w:lang w:val="en-US" w:eastAsia="zh-CN" w:bidi="ar"/>
              </w:rPr>
              <w:t>备注</w:t>
            </w:r>
          </w:p>
        </w:tc>
      </w:tr>
      <w:tr w14:paraId="42D0D153">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915"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EF37346">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1</w:t>
            </w:r>
          </w:p>
        </w:tc>
        <w:tc>
          <w:tcPr>
            <w:tcW w:w="419" w:type="pct"/>
            <w:vMerge w:val="restart"/>
            <w:tcBorders>
              <w:top w:val="single" w:color="FF0000" w:sz="6" w:space="0"/>
              <w:left w:val="single" w:color="FF0000" w:sz="6" w:space="0"/>
              <w:right w:val="single" w:color="FF0000" w:sz="6" w:space="0"/>
            </w:tcBorders>
            <w:noWrap w:val="0"/>
            <w:vAlign w:val="center"/>
          </w:tcPr>
          <w:p w14:paraId="7D0C295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加强取水许可管理</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7B358302">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制定印发进一步加强取用水管理工作方案，2026年10月底前，组织各地排查供水企业无证供水、超用途及超范围供水等违法违规行为，建立问题清单台账，跟踪管理</w:t>
            </w:r>
            <w:r>
              <w:rPr>
                <w:rStyle w:val="8"/>
                <w:rFonts w:hint="default" w:ascii="仿宋_GB2312" w:hAnsi="Times New Roman" w:eastAsia="仿宋_GB2312" w:cs="仿宋_GB2312"/>
                <w:color w:val="000000"/>
                <w:kern w:val="2"/>
                <w:sz w:val="21"/>
                <w:szCs w:val="21"/>
                <w:lang w:val="en-US" w:eastAsia="zh-CN" w:bidi="ar"/>
              </w:rPr>
              <w:t>。</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水利厅</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7BB2B29A">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32D09F00">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07876613">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915"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0EA22B8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2</w:t>
            </w:r>
          </w:p>
        </w:tc>
        <w:tc>
          <w:tcPr>
            <w:tcW w:w="419" w:type="pct"/>
            <w:vMerge w:val="continue"/>
            <w:tcBorders>
              <w:left w:val="single" w:color="FF0000" w:sz="6" w:space="0"/>
              <w:right w:val="single" w:color="FF0000" w:sz="6" w:space="0"/>
            </w:tcBorders>
            <w:noWrap w:val="0"/>
            <w:vAlign w:val="center"/>
          </w:tcPr>
          <w:p w14:paraId="10B48039">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7C4C644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黑体" w:hAnsi="宋体" w:eastAsia="黑体" w:cs="黑体"/>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排查整治违法违规取用水问题，认真复核违法违规问题，进行台账化管理、清单化推进、项目化实施，2026年12月底前依法依规完成整治。</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水利厅</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4A3E0DF6">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7E5FDFE">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11FC9586">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364"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7429E333">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3</w:t>
            </w:r>
          </w:p>
        </w:tc>
        <w:tc>
          <w:tcPr>
            <w:tcW w:w="419" w:type="pct"/>
            <w:vMerge w:val="continue"/>
            <w:tcBorders>
              <w:left w:val="single" w:color="FF0000" w:sz="6" w:space="0"/>
              <w:bottom w:val="single" w:color="FF0000" w:sz="6" w:space="0"/>
              <w:right w:val="single" w:color="FF0000" w:sz="6" w:space="0"/>
            </w:tcBorders>
            <w:noWrap w:val="0"/>
            <w:vAlign w:val="center"/>
          </w:tcPr>
          <w:p w14:paraId="4B0D9B84">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52A54AB5">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排查整治黄河干支流管理范围内违建问题</w:t>
            </w:r>
            <w:r>
              <w:rPr>
                <w:rStyle w:val="8"/>
                <w:rFonts w:hint="eastAsia" w:ascii="仿宋_GB2312" w:hAnsi="Times New Roman" w:eastAsia="仿宋_GB2312" w:cs="仿宋_GB2312"/>
                <w:color w:val="000000"/>
                <w:kern w:val="2"/>
                <w:sz w:val="21"/>
                <w:szCs w:val="21"/>
                <w:lang w:val="en-US" w:eastAsia="zh-CN" w:bidi="ar"/>
              </w:rPr>
              <w:t>，</w:t>
            </w:r>
            <w:r>
              <w:rPr>
                <w:rStyle w:val="8"/>
                <w:rFonts w:hint="default" w:ascii="仿宋_GB2312" w:hAnsi="Times New Roman" w:eastAsia="仿宋_GB2312" w:cs="仿宋_GB2312"/>
                <w:color w:val="000000"/>
                <w:kern w:val="2"/>
                <w:sz w:val="21"/>
                <w:szCs w:val="21"/>
                <w:lang w:val="en-US" w:eastAsia="zh-CN" w:bidi="ar"/>
              </w:rPr>
              <w:t>按时序推进中央生态环境保护督察反馈的黄河干支流管理范围内违建问题整改工作。完善河湖管理保护暗访监督机制，严格涉河建设项目审批，强化河道岸线空间管控。</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水利厅</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6939F4A4">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1C61C35D">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2308E395">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282"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78DEFF2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4</w:t>
            </w:r>
          </w:p>
        </w:tc>
        <w:tc>
          <w:tcPr>
            <w:tcW w:w="419" w:type="pct"/>
            <w:vMerge w:val="restart"/>
            <w:tcBorders>
              <w:top w:val="single" w:color="FF0000" w:sz="6" w:space="0"/>
              <w:left w:val="single" w:color="FF0000" w:sz="6" w:space="0"/>
              <w:right w:val="single" w:color="FF0000" w:sz="6" w:space="0"/>
            </w:tcBorders>
            <w:noWrap w:val="0"/>
            <w:vAlign w:val="center"/>
          </w:tcPr>
          <w:p w14:paraId="3E5B2D21">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深化涉水环境问题整治</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35241969">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组织开展全区已建人工湿地自查并形成自查问题清单，对人工湿地运行效能、运维管理、再生水利用等情况进行全面评估，形成全区人工湿地运行管理状况评估报告，制定宁夏人工湿地运行维护技术指南，推动指导人工湿地规范管理，确保出水水质达标。</w:t>
            </w:r>
            <w:r>
              <w:rPr>
                <w:rStyle w:val="8"/>
                <w:rFonts w:hint="default" w:ascii="黑体" w:hAnsi="宋体" w:eastAsia="黑体" w:cs="黑体"/>
                <w:color w:val="000000"/>
                <w:kern w:val="2"/>
                <w:sz w:val="21"/>
                <w:szCs w:val="21"/>
                <w:lang w:val="en-US" w:eastAsia="zh-CN" w:bidi="ar"/>
              </w:rPr>
              <w:t>（自治区生态环境厅提供）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B0BE145">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0CD791B">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54ACA528">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488"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ED85C68">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bidi="ar"/>
              </w:rPr>
            </w:pPr>
            <w:r>
              <w:rPr>
                <w:rFonts w:hint="eastAsia" w:ascii="Times New Roman" w:hAnsi="Times New Roman" w:eastAsia="微软雅黑" w:cs="Times New Roman"/>
                <w:i w:val="0"/>
                <w:iCs w:val="0"/>
                <w:color w:val="000000"/>
                <w:kern w:val="0"/>
                <w:sz w:val="21"/>
                <w:szCs w:val="21"/>
                <w:lang w:val="en-US" w:eastAsia="zh-CN" w:bidi="ar"/>
              </w:rPr>
              <w:t>5</w:t>
            </w:r>
          </w:p>
        </w:tc>
        <w:tc>
          <w:tcPr>
            <w:tcW w:w="419" w:type="pct"/>
            <w:vMerge w:val="continue"/>
            <w:tcBorders>
              <w:left w:val="single" w:color="FF0000" w:sz="6" w:space="0"/>
              <w:right w:val="single" w:color="FF0000" w:sz="6" w:space="0"/>
            </w:tcBorders>
            <w:noWrap w:val="0"/>
            <w:vAlign w:val="center"/>
          </w:tcPr>
          <w:p w14:paraId="08E7EDF6">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4ABEB834">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eastAsia"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聚焦工业园区污水收集、污水集中处理设施建设运行、化工园区初期雨水收集处理、园区环境管理等方面的问题，对全区23个工业园区开展排查整治，建立问题清单，推动各地完善工业园区污水集中处理配套设施，强化工业园区水污染风险防范，提升污水收集处理效能。</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、工业和信息化厅按职责分别</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D19B53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3D15DE9">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CE7B707">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853"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0E21B26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bidi="ar"/>
              </w:rPr>
            </w:pPr>
            <w:r>
              <w:rPr>
                <w:rFonts w:hint="eastAsia" w:ascii="Times New Roman" w:hAnsi="Times New Roman" w:eastAsia="微软雅黑" w:cs="Times New Roman"/>
                <w:i w:val="0"/>
                <w:iCs w:val="0"/>
                <w:color w:val="000000"/>
                <w:kern w:val="0"/>
                <w:sz w:val="21"/>
                <w:szCs w:val="21"/>
                <w:lang w:val="en-US" w:eastAsia="zh-CN" w:bidi="ar"/>
              </w:rPr>
              <w:t>6</w:t>
            </w:r>
          </w:p>
        </w:tc>
        <w:tc>
          <w:tcPr>
            <w:tcW w:w="419" w:type="pct"/>
            <w:vMerge w:val="continue"/>
            <w:tcBorders>
              <w:left w:val="single" w:color="FF0000" w:sz="6" w:space="0"/>
              <w:right w:val="single" w:color="FF0000" w:sz="6" w:space="0"/>
            </w:tcBorders>
            <w:noWrap w:val="0"/>
            <w:vAlign w:val="center"/>
          </w:tcPr>
          <w:p w14:paraId="71AA94C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70E3CBBC">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eastAsia"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强化地下水环境质量目标管理、风险评估、措施管控，切实抓好地下水环境质量考核任务，推进全区“十五五”国家地下水环境质量考核点位监督管理，完成2026年国家地下水环境质量考核任务。</w:t>
            </w:r>
            <w:r>
              <w:rPr>
                <w:rStyle w:val="8"/>
                <w:rFonts w:hint="default" w:ascii="黑体" w:hAnsi="宋体" w:eastAsia="黑体" w:cs="黑体"/>
                <w:color w:val="000000"/>
                <w:kern w:val="2"/>
                <w:sz w:val="21"/>
                <w:szCs w:val="21"/>
                <w:lang w:val="en-US" w:eastAsia="zh-CN" w:bidi="ar"/>
              </w:rPr>
              <w:t>（自治区生态环境厅提供）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105208EB">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5EAE095C">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6BD092F3">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853"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AF1C6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bidi="ar"/>
              </w:rPr>
            </w:pPr>
            <w:r>
              <w:rPr>
                <w:rFonts w:hint="eastAsia" w:ascii="Times New Roman" w:hAnsi="Times New Roman" w:eastAsia="微软雅黑" w:cs="Times New Roman"/>
                <w:i w:val="0"/>
                <w:iCs w:val="0"/>
                <w:color w:val="000000"/>
                <w:kern w:val="0"/>
                <w:sz w:val="21"/>
                <w:szCs w:val="21"/>
                <w:lang w:val="en-US" w:eastAsia="zh-CN" w:bidi="ar"/>
              </w:rPr>
              <w:t>7</w:t>
            </w:r>
          </w:p>
        </w:tc>
        <w:tc>
          <w:tcPr>
            <w:tcW w:w="419" w:type="pct"/>
            <w:vMerge w:val="continue"/>
            <w:tcBorders>
              <w:left w:val="single" w:color="FF0000" w:sz="6" w:space="0"/>
              <w:right w:val="single" w:color="FF0000" w:sz="6" w:space="0"/>
            </w:tcBorders>
            <w:noWrap w:val="0"/>
            <w:vAlign w:val="center"/>
          </w:tcPr>
          <w:p w14:paraId="4953B1FC">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33C3E433">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eastAsia"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持续开展22条重点入黄排水沟整治，强化入黄排水沟污染源管控，优化重点排水沟断面设置，加强水质预警监测，不断巩固排水沟水质。</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、水利厅按职责分别</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4A42126F">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647CE5E">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523E500">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056"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3715096">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bidi="ar"/>
              </w:rPr>
            </w:pPr>
            <w:r>
              <w:rPr>
                <w:rFonts w:hint="eastAsia" w:ascii="Times New Roman" w:hAnsi="Times New Roman" w:eastAsia="微软雅黑" w:cs="Times New Roman"/>
                <w:i w:val="0"/>
                <w:iCs w:val="0"/>
                <w:color w:val="000000"/>
                <w:kern w:val="0"/>
                <w:sz w:val="21"/>
                <w:szCs w:val="21"/>
                <w:lang w:val="en-US" w:eastAsia="zh-CN" w:bidi="ar"/>
              </w:rPr>
              <w:t>8</w:t>
            </w:r>
          </w:p>
        </w:tc>
        <w:tc>
          <w:tcPr>
            <w:tcW w:w="419" w:type="pct"/>
            <w:vMerge w:val="continue"/>
            <w:tcBorders>
              <w:left w:val="single" w:color="FF0000" w:sz="6" w:space="0"/>
              <w:bottom w:val="single" w:color="FF0000" w:sz="6" w:space="0"/>
              <w:right w:val="single" w:color="FF0000" w:sz="6" w:space="0"/>
            </w:tcBorders>
            <w:noWrap w:val="0"/>
            <w:vAlign w:val="center"/>
          </w:tcPr>
          <w:p w14:paraId="2F414013">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56FC244E">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eastAsia"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印发实施全区城市生活污水处理设施运营管理办法,指导各地进一步加强城市生活污水处理设施运行监管。指导各地开展老旧管网更新改造，加快补齐城市生活污水收集处理设施短板。</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住房城乡建设</w:t>
            </w:r>
            <w:r>
              <w:rPr>
                <w:rStyle w:val="8"/>
                <w:rFonts w:hint="default" w:ascii="黑体" w:hAnsi="宋体" w:eastAsia="黑体" w:cs="黑体"/>
                <w:color w:val="000000"/>
                <w:kern w:val="2"/>
                <w:sz w:val="21"/>
                <w:szCs w:val="21"/>
                <w:lang w:val="en-US" w:eastAsia="zh-CN" w:bidi="ar"/>
              </w:rPr>
              <w:t>厅提供）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498E2CE1">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7F108F2">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702771C6">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739"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2F3F2A7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rPr>
            </w:pPr>
          </w:p>
          <w:p w14:paraId="282F15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9</w:t>
            </w:r>
          </w:p>
        </w:tc>
        <w:tc>
          <w:tcPr>
            <w:tcW w:w="419" w:type="pct"/>
            <w:vMerge w:val="restart"/>
            <w:tcBorders>
              <w:top w:val="single" w:color="FF0000" w:sz="6" w:space="0"/>
              <w:left w:val="single" w:color="FF0000" w:sz="6" w:space="0"/>
              <w:right w:val="single" w:color="FF0000" w:sz="6" w:space="0"/>
            </w:tcBorders>
            <w:noWrap w:val="0"/>
            <w:vAlign w:val="center"/>
          </w:tcPr>
          <w:p w14:paraId="2E7175AC">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提升入河排污口整治成效</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16755074">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加快入河排污口分级分类监测监管体系建设，依据《入河排污口监督管理办法》《宁夏入河（湖、沟）排污口设置审批权限划分方案》，依法依规实行审批制，分级分类审批入河排污口，严控新增工业排污口，集中整治违法偷排口、汛期城镇雨洪排口、涉农排口等，动态更新管理台账。</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提供</w:t>
            </w:r>
            <w:r>
              <w:rPr>
                <w:rStyle w:val="8"/>
                <w:rFonts w:hint="default" w:ascii="黑体" w:hAnsi="宋体" w:eastAsia="黑体" w:cs="黑体"/>
                <w:color w:val="000000"/>
                <w:kern w:val="2"/>
                <w:sz w:val="21"/>
                <w:szCs w:val="21"/>
                <w:lang w:val="en-US" w:eastAsia="zh-CN" w:bidi="ar"/>
              </w:rPr>
              <w:t>）</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382009E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0AEC5520">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45C0940">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072"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262E5E0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10</w:t>
            </w:r>
          </w:p>
        </w:tc>
        <w:tc>
          <w:tcPr>
            <w:tcW w:w="419" w:type="pct"/>
            <w:vMerge w:val="continue"/>
            <w:tcBorders>
              <w:left w:val="single" w:color="FF0000" w:sz="6" w:space="0"/>
              <w:bottom w:val="single" w:color="FF0000" w:sz="6" w:space="0"/>
              <w:right w:val="single" w:color="FF0000" w:sz="6" w:space="0"/>
            </w:tcBorders>
            <w:noWrap w:val="0"/>
            <w:vAlign w:val="center"/>
          </w:tcPr>
          <w:p w14:paraId="468C0866">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323DAE58">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按照“依法取缔一批、清理合并一批、规范整治一批”原则和“查、测、溯、治”，深化全区各类排污口整治和规范化建设，实施分级分类监管监测。</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提供</w:t>
            </w:r>
            <w:r>
              <w:rPr>
                <w:rStyle w:val="8"/>
                <w:rFonts w:hint="default" w:ascii="黑体" w:hAnsi="宋体" w:eastAsia="黑体" w:cs="黑体"/>
                <w:color w:val="000000"/>
                <w:kern w:val="2"/>
                <w:sz w:val="21"/>
                <w:szCs w:val="21"/>
                <w:lang w:val="en-US" w:eastAsia="zh-CN" w:bidi="ar"/>
              </w:rPr>
              <w:t>）</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978BD05">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79591495">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bl>
    <w:p w14:paraId="774F75A9">
      <w:pPr>
        <w:pStyle w:val="4"/>
        <w:widowControl/>
        <w:ind w:left="0" w:leftChars="0" w:firstLine="0" w:firstLineChars="0"/>
        <w:jc w:val="center"/>
        <w:rPr>
          <w:rFonts w:hint="eastAsia" w:eastAsia="方正小标宋_GBK" w:cs="Times New Roman"/>
          <w:color w:val="000000"/>
          <w:spacing w:val="0"/>
          <w:kern w:val="2"/>
          <w:sz w:val="44"/>
          <w:szCs w:val="44"/>
          <w:highlight w:val="none"/>
          <w:lang w:val="en-US" w:eastAsia="zh-CN" w:bidi="ar"/>
        </w:rPr>
      </w:pPr>
    </w:p>
    <w:p w14:paraId="7D9226B1">
      <w:pPr>
        <w:pStyle w:val="4"/>
        <w:widowControl/>
        <w:ind w:left="0" w:leftChars="0" w:firstLine="0" w:firstLineChars="0"/>
        <w:jc w:val="center"/>
        <w:rPr>
          <w:rFonts w:hint="eastAsia" w:eastAsia="方正小标宋_GBK" w:cs="Times New Roman"/>
          <w:color w:val="000000"/>
          <w:spacing w:val="0"/>
          <w:kern w:val="2"/>
          <w:sz w:val="44"/>
          <w:szCs w:val="44"/>
          <w:highlight w:val="none"/>
          <w:lang w:val="en-US" w:eastAsia="zh-CN" w:bidi="ar"/>
        </w:rPr>
      </w:pPr>
    </w:p>
    <w:p w14:paraId="19D9F876">
      <w:pPr>
        <w:pStyle w:val="4"/>
        <w:widowControl/>
        <w:ind w:left="0" w:leftChars="0" w:firstLine="0" w:firstLineChars="0"/>
        <w:jc w:val="center"/>
        <w:rPr>
          <w:rFonts w:hint="eastAsia" w:eastAsia="方正小标宋_GBK" w:cs="Times New Roman"/>
          <w:color w:val="000000"/>
          <w:spacing w:val="0"/>
          <w:kern w:val="2"/>
          <w:sz w:val="44"/>
          <w:szCs w:val="44"/>
          <w:highlight w:val="none"/>
          <w:lang w:val="en-US" w:eastAsia="zh-CN" w:bidi="ar"/>
        </w:rPr>
      </w:pPr>
    </w:p>
    <w:p w14:paraId="27C6C8DF">
      <w:pPr>
        <w:pStyle w:val="4"/>
        <w:widowControl/>
        <w:ind w:left="0" w:leftChars="0" w:firstLine="0" w:firstLineChars="0"/>
        <w:jc w:val="center"/>
        <w:rPr>
          <w:rFonts w:hint="eastAsia" w:ascii="方正小标宋_GBK" w:hAnsi="方正小标宋_GBK" w:eastAsia="方正小标宋_GBK" w:cs="方正小标宋_GBK"/>
          <w:i w:val="0"/>
          <w:iCs w:val="0"/>
          <w:color w:val="000000"/>
          <w:kern w:val="0"/>
          <w:sz w:val="44"/>
          <w:szCs w:val="44"/>
        </w:rPr>
      </w:pPr>
      <w:r>
        <w:rPr>
          <w:rFonts w:hint="eastAsia" w:eastAsia="方正小标宋_GBK" w:cs="Times New Roman"/>
          <w:color w:val="000000"/>
          <w:spacing w:val="0"/>
          <w:kern w:val="2"/>
          <w:sz w:val="44"/>
          <w:szCs w:val="44"/>
          <w:highlight w:val="none"/>
          <w:lang w:val="en-US" w:eastAsia="zh-CN" w:bidi="ar"/>
        </w:rPr>
        <w:t>自治区违规取水用水排水治理行动</w:t>
      </w:r>
      <w:r>
        <w:rPr>
          <w:rFonts w:hint="eastAsia" w:ascii="方正小标宋_GBK" w:hAnsi="方正小标宋_GBK" w:eastAsia="方正小标宋_GBK" w:cs="方正小标宋_GBK"/>
          <w:i w:val="0"/>
          <w:iCs w:val="0"/>
          <w:color w:val="000000"/>
          <w:kern w:val="0"/>
          <w:sz w:val="44"/>
          <w:szCs w:val="44"/>
        </w:rPr>
        <w:t>任务推进情况</w:t>
      </w:r>
    </w:p>
    <w:tbl>
      <w:tblPr>
        <w:tblStyle w:val="6"/>
        <w:tblW w:w="5039" w:type="pct"/>
        <w:jc w:val="center"/>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Layout w:type="autofit"/>
        <w:tblCellMar>
          <w:top w:w="0" w:type="dxa"/>
          <w:left w:w="108" w:type="dxa"/>
          <w:bottom w:w="0" w:type="dxa"/>
          <w:right w:w="108" w:type="dxa"/>
        </w:tblCellMar>
      </w:tblPr>
      <w:tblGrid>
        <w:gridCol w:w="502"/>
        <w:gridCol w:w="2058"/>
        <w:gridCol w:w="9273"/>
        <w:gridCol w:w="1240"/>
      </w:tblGrid>
      <w:tr w14:paraId="1511FAE1">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666" w:hRule="atLeast"/>
          <w:jc w:val="center"/>
        </w:trPr>
        <w:tc>
          <w:tcPr>
            <w:tcW w:w="192" w:type="pct"/>
            <w:tcBorders>
              <w:top w:val="single" w:color="FF0000" w:sz="6" w:space="0"/>
              <w:left w:val="single" w:color="FF0000" w:sz="6" w:space="0"/>
              <w:bottom w:val="single" w:color="FF0000" w:sz="6" w:space="0"/>
              <w:right w:val="single" w:color="FF0000" w:sz="6" w:space="0"/>
            </w:tcBorders>
            <w:noWrap w:val="0"/>
            <w:vAlign w:val="center"/>
          </w:tcPr>
          <w:p w14:paraId="113EBD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序号</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3BBCED9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责任单位</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496FC47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0"/>
                <w:sz w:val="21"/>
                <w:szCs w:val="21"/>
              </w:rPr>
            </w:pPr>
            <w:r>
              <w:rPr>
                <w:rFonts w:hint="default" w:ascii="黑体" w:hAnsi="宋体" w:eastAsia="黑体" w:cs="黑体"/>
                <w:i w:val="0"/>
                <w:iCs w:val="0"/>
                <w:color w:val="000000"/>
                <w:kern w:val="0"/>
                <w:sz w:val="21"/>
                <w:szCs w:val="21"/>
                <w:lang w:val="en-US" w:eastAsia="zh-CN" w:bidi="ar"/>
              </w:rPr>
              <w:t>工作推进情况</w:t>
            </w: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3430D257">
            <w:pPr>
              <w:keepNext w:val="0"/>
              <w:keepLines w:val="0"/>
              <w:widowControl w:val="0"/>
              <w:suppressLineNumbers w:val="0"/>
              <w:autoSpaceDE w:val="0"/>
              <w:autoSpaceDN/>
              <w:spacing w:before="0" w:beforeAutospacing="0" w:after="0" w:afterAutospacing="0" w:line="260" w:lineRule="exact"/>
              <w:ind w:left="0" w:right="0"/>
              <w:jc w:val="center"/>
              <w:rPr>
                <w:rFonts w:hint="default" w:ascii="Times New Roman" w:hAnsi="Times New Roman" w:eastAsia="微软雅黑"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备注</w:t>
            </w:r>
          </w:p>
        </w:tc>
      </w:tr>
      <w:tr w14:paraId="136874D7">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2" w:type="pct"/>
            <w:tcBorders>
              <w:top w:val="single" w:color="FF0000" w:sz="6" w:space="0"/>
              <w:left w:val="single" w:color="FF0000" w:sz="6" w:space="0"/>
              <w:bottom w:val="single" w:color="FF0000" w:sz="6" w:space="0"/>
              <w:right w:val="single" w:color="FF0000" w:sz="6" w:space="0"/>
            </w:tcBorders>
            <w:noWrap w:val="0"/>
            <w:vAlign w:val="center"/>
          </w:tcPr>
          <w:p w14:paraId="63B5114A">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1</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66161EA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lang w:eastAsia="zh-CN"/>
              </w:rPr>
            </w:pPr>
            <w:r>
              <w:rPr>
                <w:rFonts w:hint="eastAsia" w:ascii="仿宋_GB2312" w:hAnsi="微软雅黑" w:eastAsia="仿宋_GB2312" w:cs="仿宋_GB2312"/>
                <w:color w:val="000000"/>
                <w:sz w:val="21"/>
                <w:szCs w:val="21"/>
                <w:lang w:eastAsia="zh-CN"/>
              </w:rPr>
              <w:t>水利厅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41432F0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64E1C536">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3240E17A">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2" w:type="pct"/>
            <w:tcBorders>
              <w:top w:val="single" w:color="FF0000" w:sz="6" w:space="0"/>
              <w:left w:val="single" w:color="FF0000" w:sz="6" w:space="0"/>
              <w:bottom w:val="single" w:color="FF0000" w:sz="6" w:space="0"/>
              <w:right w:val="single" w:color="FF0000" w:sz="6" w:space="0"/>
            </w:tcBorders>
            <w:noWrap w:val="0"/>
            <w:vAlign w:val="center"/>
          </w:tcPr>
          <w:p w14:paraId="6C438E6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2</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4A48BCBF">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仿宋_GB2312" w:hAnsi="微软雅黑" w:eastAsia="仿宋_GB2312" w:cs="仿宋_GB2312"/>
                <w:color w:val="000000"/>
                <w:kern w:val="2"/>
                <w:sz w:val="21"/>
                <w:szCs w:val="21"/>
                <w:lang w:val="en-US" w:eastAsia="zh-CN" w:bidi="ar-SA"/>
              </w:rPr>
            </w:pPr>
            <w:r>
              <w:rPr>
                <w:rStyle w:val="8"/>
                <w:rFonts w:hint="eastAsia" w:ascii="仿宋_GB2312" w:hAnsi="微软雅黑" w:eastAsia="仿宋_GB2312" w:cs="仿宋_GB2312"/>
                <w:color w:val="000000"/>
                <w:kern w:val="2"/>
                <w:sz w:val="21"/>
                <w:szCs w:val="21"/>
                <w:lang w:val="en-US" w:eastAsia="zh-CN" w:bidi="ar"/>
              </w:rPr>
              <w:t>生态环境厅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65084A3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07F422F6">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6CCF0679">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2" w:type="pct"/>
            <w:tcBorders>
              <w:top w:val="single" w:color="FF0000" w:sz="6" w:space="0"/>
              <w:left w:val="single" w:color="FF0000" w:sz="6" w:space="0"/>
              <w:bottom w:val="single" w:color="FF0000" w:sz="6" w:space="0"/>
              <w:right w:val="single" w:color="FF0000" w:sz="6" w:space="0"/>
            </w:tcBorders>
            <w:noWrap w:val="0"/>
            <w:vAlign w:val="center"/>
          </w:tcPr>
          <w:p w14:paraId="32F262A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3</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058524E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仿宋_GB2312" w:hAnsi="微软雅黑" w:eastAsia="仿宋_GB2312" w:cs="仿宋_GB2312"/>
                <w:color w:val="000000"/>
                <w:kern w:val="2"/>
                <w:sz w:val="21"/>
                <w:szCs w:val="21"/>
                <w:lang w:val="en-US" w:eastAsia="zh-CN" w:bidi="ar-SA"/>
              </w:rPr>
            </w:pPr>
            <w:r>
              <w:rPr>
                <w:rStyle w:val="8"/>
                <w:rFonts w:hint="eastAsia" w:ascii="仿宋_GB2312" w:hAnsi="微软雅黑" w:eastAsia="仿宋_GB2312" w:cs="仿宋_GB2312"/>
                <w:color w:val="000000"/>
                <w:kern w:val="2"/>
                <w:sz w:val="21"/>
                <w:szCs w:val="21"/>
                <w:lang w:val="en-US" w:eastAsia="zh-CN" w:bidi="ar"/>
              </w:rPr>
              <w:t>工业和信息化厅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5D5CE88D">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4B669497">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6E7482A">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2" w:type="pct"/>
            <w:tcBorders>
              <w:top w:val="single" w:color="FF0000" w:sz="6" w:space="0"/>
              <w:left w:val="single" w:color="FF0000" w:sz="6" w:space="0"/>
              <w:bottom w:val="single" w:color="FF0000" w:sz="6" w:space="0"/>
              <w:right w:val="single" w:color="FF0000" w:sz="6" w:space="0"/>
            </w:tcBorders>
            <w:noWrap w:val="0"/>
            <w:vAlign w:val="center"/>
          </w:tcPr>
          <w:p w14:paraId="0C932ED1">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4</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63DB445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住房城乡建设厅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532D68E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0E48D232">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bl>
    <w:p w14:paraId="1BA3BA7B">
      <w:pPr>
        <w:sectPr>
          <w:pgSz w:w="16838" w:h="11906" w:orient="landscape"/>
          <w:pgMar w:top="1587" w:right="2098" w:bottom="1474" w:left="1984" w:header="851" w:footer="992" w:gutter="0"/>
          <w:pgNumType w:fmt="numberInDash"/>
          <w:cols w:space="720" w:num="1"/>
          <w:titlePg/>
          <w:rtlGutter w:val="0"/>
          <w:docGrid w:type="lines" w:linePitch="317" w:charSpace="0"/>
        </w:sectPr>
      </w:pPr>
    </w:p>
    <w:p w14:paraId="69ABBAB8">
      <w:pPr>
        <w:pStyle w:val="4"/>
        <w:widowControl/>
        <w:ind w:left="0" w:leftChars="0" w:firstLine="0" w:firstLineChars="0"/>
        <w:jc w:val="center"/>
        <w:rPr>
          <w:rFonts w:hint="eastAsia" w:ascii="方正小标宋_GBK" w:hAnsi="方正小标宋_GBK" w:eastAsia="方正小标宋_GBK" w:cs="方正小标宋_GBK"/>
          <w:i w:val="0"/>
          <w:iCs w:val="0"/>
          <w:color w:val="000000"/>
          <w:kern w:val="0"/>
          <w:sz w:val="44"/>
          <w:szCs w:val="44"/>
        </w:rPr>
      </w:pPr>
      <w:r>
        <w:rPr>
          <w:rFonts w:hint="eastAsia" w:ascii="方正小标宋简体" w:hAnsi="方正小标宋简体" w:eastAsia="方正小标宋简体" w:cs="方正小标宋简体"/>
          <w:color w:val="000000"/>
          <w:sz w:val="43"/>
          <w:szCs w:val="43"/>
          <w:lang w:eastAsia="zh-CN"/>
        </w:rPr>
        <w:t>自治区</w:t>
      </w:r>
      <w:r>
        <w:rPr>
          <w:rFonts w:hint="eastAsia" w:ascii="方正小标宋简体" w:hAnsi="方正小标宋简体" w:eastAsia="方正小标宋简体" w:cs="方正小标宋简体"/>
          <w:color w:val="000000"/>
          <w:sz w:val="43"/>
          <w:szCs w:val="43"/>
        </w:rPr>
        <w:t>河湖生态保护修复行动</w:t>
      </w:r>
      <w:r>
        <w:rPr>
          <w:rFonts w:hint="eastAsia" w:ascii="方正小标宋_GBK" w:hAnsi="方正小标宋_GBK" w:eastAsia="方正小标宋_GBK" w:cs="方正小标宋_GBK"/>
          <w:i w:val="0"/>
          <w:iCs w:val="0"/>
          <w:color w:val="000000"/>
          <w:kern w:val="0"/>
          <w:sz w:val="44"/>
          <w:szCs w:val="44"/>
        </w:rPr>
        <w:t>重点措施完成情况调度表</w:t>
      </w:r>
    </w:p>
    <w:tbl>
      <w:tblPr>
        <w:tblStyle w:val="6"/>
        <w:tblW w:w="5025" w:type="pct"/>
        <w:tblInd w:w="0" w:type="dxa"/>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Layout w:type="autofit"/>
        <w:tblCellMar>
          <w:top w:w="0" w:type="dxa"/>
          <w:left w:w="108" w:type="dxa"/>
          <w:bottom w:w="0" w:type="dxa"/>
          <w:right w:w="108" w:type="dxa"/>
        </w:tblCellMar>
      </w:tblPr>
      <w:tblGrid>
        <w:gridCol w:w="462"/>
        <w:gridCol w:w="1093"/>
        <w:gridCol w:w="4103"/>
        <w:gridCol w:w="6085"/>
        <w:gridCol w:w="1294"/>
      </w:tblGrid>
      <w:tr w14:paraId="29B2BF46">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586"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6E7AEAE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序号</w:t>
            </w:r>
          </w:p>
        </w:tc>
        <w:tc>
          <w:tcPr>
            <w:tcW w:w="419" w:type="pct"/>
            <w:tcBorders>
              <w:top w:val="single" w:color="FF0000" w:sz="6" w:space="0"/>
              <w:left w:val="single" w:color="FF0000" w:sz="6" w:space="0"/>
              <w:bottom w:val="single" w:color="FF0000" w:sz="6" w:space="0"/>
              <w:right w:val="single" w:color="FF0000" w:sz="6" w:space="0"/>
            </w:tcBorders>
            <w:noWrap w:val="0"/>
            <w:vAlign w:val="center"/>
          </w:tcPr>
          <w:p w14:paraId="37A4CA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重点措施</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05A70C8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落实举措</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B36EA9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工作推进情况</w:t>
            </w:r>
            <w:r>
              <w:rPr>
                <w:rFonts w:hint="eastAsia" w:ascii="黑体" w:hAnsi="宋体" w:eastAsia="黑体" w:cs="黑体"/>
                <w:i w:val="0"/>
                <w:iCs w:val="0"/>
                <w:color w:val="000000"/>
                <w:kern w:val="0"/>
                <w:sz w:val="21"/>
                <w:szCs w:val="21"/>
                <w:u w:val="none"/>
                <w:lang w:val="en-US" w:eastAsia="zh-CN" w:bidi="ar"/>
              </w:rPr>
              <w:t>（截至*月底）</w:t>
            </w: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1A46E15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黑体" w:cs="Times New Roman"/>
                <w:i w:val="0"/>
                <w:iCs w:val="0"/>
                <w:color w:val="000000"/>
                <w:kern w:val="0"/>
                <w:sz w:val="21"/>
                <w:szCs w:val="21"/>
              </w:rPr>
            </w:pPr>
            <w:r>
              <w:rPr>
                <w:rFonts w:hint="default" w:ascii="黑体" w:hAnsi="宋体" w:eastAsia="黑体" w:cs="黑体"/>
                <w:i w:val="0"/>
                <w:iCs w:val="0"/>
                <w:color w:val="000000"/>
                <w:kern w:val="0"/>
                <w:sz w:val="21"/>
                <w:szCs w:val="21"/>
                <w:lang w:val="en-US" w:eastAsia="zh-CN" w:bidi="ar"/>
              </w:rPr>
              <w:t>备注</w:t>
            </w:r>
          </w:p>
        </w:tc>
      </w:tr>
      <w:tr w14:paraId="54F23D97">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227"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3299F347">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1</w:t>
            </w:r>
          </w:p>
        </w:tc>
        <w:tc>
          <w:tcPr>
            <w:tcW w:w="419" w:type="pct"/>
            <w:tcBorders>
              <w:top w:val="single" w:color="FF0000" w:sz="6" w:space="0"/>
              <w:left w:val="single" w:color="FF0000" w:sz="6" w:space="0"/>
              <w:right w:val="single" w:color="FF0000" w:sz="6" w:space="0"/>
            </w:tcBorders>
            <w:noWrap w:val="0"/>
            <w:vAlign w:val="center"/>
          </w:tcPr>
          <w:p w14:paraId="7732AE83">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实施清水河、苦水河水土流失综合治理</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1546BCF6">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按年度下达水土流失防治任务，统筹实施小流域治理、坡耕地整治和淤地坝建设等水土保持措施，2026年度组织实施西吉、海原、平罗等县区17个小流域综合治理提质增效项目，水土保持率达到78.19%以上。</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水利厅</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133CDA87">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7AC6DD8F">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6B48132B">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4852"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3E676C2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2</w:t>
            </w:r>
          </w:p>
        </w:tc>
        <w:tc>
          <w:tcPr>
            <w:tcW w:w="419" w:type="pct"/>
            <w:vMerge w:val="restart"/>
            <w:tcBorders>
              <w:left w:val="single" w:color="FF0000" w:sz="6" w:space="0"/>
              <w:right w:val="single" w:color="FF0000" w:sz="6" w:space="0"/>
            </w:tcBorders>
            <w:noWrap w:val="0"/>
            <w:vAlign w:val="center"/>
          </w:tcPr>
          <w:p w14:paraId="378BF9C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实施清水河、苦水河生态保护修复工程</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2247119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黑体" w:hAnsi="宋体" w:eastAsia="黑体" w:cs="黑体"/>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实施宁夏南部生态保护修复与水土流失综合治理。结合区域营造林适宜空间分布、立地条件及生态功能需求，建设水源涵养林和人工种草，进一步巩固林草植被，提升区域水源涵养能力。针对区域内沙化土地分布特点及沙化程度，采用“工程固沙+灌草结合”模式，通过沙障铺设、灌草种植等，提升沙化土地植被覆盖度和固沙能力，逐步改善沙化区域生态环境。对水土流失严重、植被覆盖率低、生态脆弱且人为干扰频繁的区域，实施封山育林，明确封育范围、划定封育界限，设立防护标识，以自然修复为主，人工促进为辅，加快区域植被恢复与生态演替，稳步提升植被覆盖度。</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林草局</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3ED40B97">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7EF98B71">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A26849F">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3498"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9C7B907">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3</w:t>
            </w:r>
          </w:p>
        </w:tc>
        <w:tc>
          <w:tcPr>
            <w:tcW w:w="419" w:type="pct"/>
            <w:vMerge w:val="continue"/>
            <w:tcBorders>
              <w:left w:val="single" w:color="FF0000" w:sz="6" w:space="0"/>
              <w:bottom w:val="single" w:color="FF0000" w:sz="6" w:space="0"/>
              <w:right w:val="single" w:color="FF0000" w:sz="6" w:space="0"/>
            </w:tcBorders>
            <w:noWrap w:val="0"/>
            <w:vAlign w:val="center"/>
          </w:tcPr>
          <w:p w14:paraId="1E187CC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59C322C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szCs w:val="21"/>
                <w:lang w:bidi="ar"/>
              </w:rPr>
              <w:t>全面推进封山育林、退化林草修复等工程，通过围栏封育、人工种草、补播改良等方式，持续提升林草综合植被盖度。推广麦草方格、蓝藻沙结皮等固沙新技术，有效遏制区域土地荒漠化、沙化趋势。加强区域协同配合，统筹推进沙地治理各项工作。健全管护体系，明确管护责任，加强日常巡护，严禁乱砍滥伐、放牧等破坏行为。</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林草局</w:t>
            </w:r>
            <w:r>
              <w:rPr>
                <w:rStyle w:val="8"/>
                <w:rFonts w:hint="default" w:ascii="黑体" w:hAnsi="宋体" w:eastAsia="黑体" w:cs="黑体"/>
                <w:color w:val="000000"/>
                <w:kern w:val="2"/>
                <w:sz w:val="21"/>
                <w:szCs w:val="21"/>
                <w:lang w:val="en-US" w:eastAsia="zh-CN" w:bidi="ar"/>
              </w:rPr>
              <w:t>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1C5751F9">
            <w:pPr>
              <w:keepNext w:val="0"/>
              <w:keepLines w:val="0"/>
              <w:widowControl/>
              <w:suppressLineNumbers w:val="0"/>
              <w:autoSpaceDE w:val="0"/>
              <w:autoSpaceDN/>
              <w:spacing w:before="0" w:beforeAutospacing="0" w:after="0" w:afterAutospacing="0" w:line="260" w:lineRule="exact"/>
              <w:ind w:left="0" w:right="0"/>
              <w:jc w:val="left"/>
              <w:textAlignment w:val="center"/>
              <w:rPr>
                <w:rFonts w:hint="default" w:ascii="Times New Roman" w:hAnsi="Times New Roman" w:eastAsia="仿宋_GB2312" w:cs="Times New Roman"/>
                <w:color w:val="000000"/>
                <w:kern w:val="2"/>
                <w:sz w:val="21"/>
                <w:szCs w:val="21"/>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FE59D37">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63989B69">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611"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02A55EF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4</w:t>
            </w:r>
          </w:p>
        </w:tc>
        <w:tc>
          <w:tcPr>
            <w:tcW w:w="419" w:type="pct"/>
            <w:vMerge w:val="restart"/>
            <w:tcBorders>
              <w:top w:val="single" w:color="FF0000" w:sz="6" w:space="0"/>
              <w:left w:val="single" w:color="FF0000" w:sz="6" w:space="0"/>
              <w:right w:val="single" w:color="FF0000" w:sz="6" w:space="0"/>
            </w:tcBorders>
            <w:noWrap w:val="0"/>
            <w:vAlign w:val="center"/>
          </w:tcPr>
          <w:p w14:paraId="7DB52797">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实施重点河湖生态复苏</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2ECD6E3C">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2026年4月底前，组织固原市分析清水河二营水库、渝河三里店水库、颉河洪沟水库等水利工程下游控制断面生态用水需求，明确泄放生态流量目标，编制生态流量确定方案。</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w:t>
            </w:r>
            <w:r>
              <w:rPr>
                <w:rStyle w:val="8"/>
                <w:rFonts w:hint="default" w:ascii="黑体" w:hAnsi="宋体" w:eastAsia="黑体" w:cs="黑体"/>
                <w:color w:val="000000"/>
                <w:kern w:val="2"/>
                <w:sz w:val="21"/>
                <w:szCs w:val="21"/>
                <w:lang w:val="en-US" w:eastAsia="zh-CN" w:bidi="ar"/>
              </w:rPr>
              <w:t>厅提供）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01B60F72">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58170744">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7AE6B541">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381"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1CD26C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bidi="ar"/>
              </w:rPr>
            </w:pPr>
            <w:r>
              <w:rPr>
                <w:rFonts w:hint="eastAsia" w:ascii="Times New Roman" w:hAnsi="Times New Roman" w:eastAsia="微软雅黑" w:cs="Times New Roman"/>
                <w:i w:val="0"/>
                <w:iCs w:val="0"/>
                <w:color w:val="000000"/>
                <w:kern w:val="0"/>
                <w:sz w:val="21"/>
                <w:szCs w:val="21"/>
                <w:lang w:val="en-US" w:eastAsia="zh-CN" w:bidi="ar"/>
              </w:rPr>
              <w:t>5</w:t>
            </w:r>
          </w:p>
        </w:tc>
        <w:tc>
          <w:tcPr>
            <w:tcW w:w="419" w:type="pct"/>
            <w:vMerge w:val="continue"/>
            <w:tcBorders>
              <w:left w:val="single" w:color="FF0000" w:sz="6" w:space="0"/>
              <w:right w:val="single" w:color="FF0000" w:sz="6" w:space="0"/>
            </w:tcBorders>
            <w:noWrap w:val="0"/>
            <w:vAlign w:val="center"/>
          </w:tcPr>
          <w:p w14:paraId="196FBB4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334545AB">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eastAsia" w:ascii="仿宋_GB2312" w:hAnsi="Times New Roman" w:eastAsia="仿宋_GB2312" w:cs="仿宋_GB2312"/>
                <w:color w:val="000000"/>
                <w:kern w:val="2"/>
                <w:sz w:val="21"/>
                <w:szCs w:val="21"/>
                <w:lang w:val="en-US" w:eastAsia="zh-CN" w:bidi="ar"/>
              </w:rPr>
            </w:pPr>
            <w:r>
              <w:rPr>
                <w:rStyle w:val="8"/>
                <w:rFonts w:hint="eastAsia" w:ascii="仿宋_GB2312" w:hAnsi="Times New Roman" w:eastAsia="仿宋_GB2312" w:cs="仿宋_GB2312"/>
                <w:color w:val="000000"/>
                <w:kern w:val="2"/>
                <w:sz w:val="21"/>
                <w:szCs w:val="21"/>
                <w:lang w:val="en-US" w:eastAsia="zh-CN" w:bidi="ar"/>
              </w:rPr>
              <w:t>对清水河、沙湖等重点河湖控制性断面开展常态化监测，对来水量或水位接近生态流量限值情况实施预警，提升生态流量保障程度。</w:t>
            </w:r>
            <w:r>
              <w:rPr>
                <w:rStyle w:val="8"/>
                <w:rFonts w:hint="default" w:ascii="黑体" w:hAnsi="宋体" w:eastAsia="黑体" w:cs="黑体"/>
                <w:color w:val="000000"/>
                <w:kern w:val="2"/>
                <w:sz w:val="21"/>
                <w:szCs w:val="21"/>
                <w:lang w:val="en-US" w:eastAsia="zh-CN" w:bidi="ar"/>
              </w:rPr>
              <w:t>（自治区</w:t>
            </w:r>
            <w:r>
              <w:rPr>
                <w:rStyle w:val="8"/>
                <w:rFonts w:hint="eastAsia" w:ascii="黑体" w:hAnsi="宋体" w:eastAsia="黑体" w:cs="黑体"/>
                <w:color w:val="000000"/>
                <w:kern w:val="2"/>
                <w:sz w:val="21"/>
                <w:szCs w:val="21"/>
                <w:lang w:val="en-US" w:eastAsia="zh-CN" w:bidi="ar"/>
              </w:rPr>
              <w:t>水利</w:t>
            </w:r>
            <w:r>
              <w:rPr>
                <w:rStyle w:val="8"/>
                <w:rFonts w:hint="default" w:ascii="黑体" w:hAnsi="宋体" w:eastAsia="黑体" w:cs="黑体"/>
                <w:color w:val="000000"/>
                <w:kern w:val="2"/>
                <w:sz w:val="21"/>
                <w:szCs w:val="21"/>
                <w:lang w:val="en-US" w:eastAsia="zh-CN" w:bidi="ar"/>
              </w:rPr>
              <w:t>厅提供）</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4C4BEC94">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49C807CB">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14BC09A8">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810"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6FC46762">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6</w:t>
            </w:r>
          </w:p>
        </w:tc>
        <w:tc>
          <w:tcPr>
            <w:tcW w:w="419" w:type="pct"/>
            <w:vMerge w:val="restart"/>
            <w:tcBorders>
              <w:top w:val="single" w:color="FF0000" w:sz="6" w:space="0"/>
              <w:left w:val="single" w:color="FF0000" w:sz="6" w:space="0"/>
              <w:right w:val="single" w:color="FF0000" w:sz="6" w:space="0"/>
            </w:tcBorders>
            <w:noWrap w:val="0"/>
            <w:vAlign w:val="center"/>
          </w:tcPr>
          <w:p w14:paraId="6D63B5D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推动美丽河湖保护与建设</w:t>
            </w: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6DF2093C">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根据国家《美丽河湖保护与建设参考指标（试行）》等政策文件，组织协同调查与监测分析，形成《宁夏回族自治区美丽河湖建设成效评估报告》。</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提供</w:t>
            </w:r>
            <w:r>
              <w:rPr>
                <w:rStyle w:val="8"/>
                <w:rFonts w:hint="default" w:ascii="黑体" w:hAnsi="宋体" w:eastAsia="黑体" w:cs="黑体"/>
                <w:color w:val="000000"/>
                <w:kern w:val="2"/>
                <w:sz w:val="21"/>
                <w:szCs w:val="21"/>
                <w:lang w:val="en-US" w:eastAsia="zh-CN" w:bidi="ar"/>
              </w:rPr>
              <w:t>）</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16F73AA8">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0FF8E7C2">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3072E89A">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733"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4A83DB5F">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7</w:t>
            </w:r>
          </w:p>
        </w:tc>
        <w:tc>
          <w:tcPr>
            <w:tcW w:w="419" w:type="pct"/>
            <w:vMerge w:val="continue"/>
            <w:tcBorders>
              <w:left w:val="single" w:color="FF0000" w:sz="6" w:space="0"/>
              <w:right w:val="single" w:color="FF0000" w:sz="6" w:space="0"/>
            </w:tcBorders>
            <w:noWrap w:val="0"/>
            <w:vAlign w:val="center"/>
          </w:tcPr>
          <w:p w14:paraId="51E82CA4">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52DA2D7E">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开展美丽河湖保护与建设成效评估，巩固已建成的美丽河湖成效。结合国家申报指南要求，指导各地市因地制宜系统谋划申报水污染治理、水生态修复和水源地保护等项目，积极有序申报中央财政水污染防治项目（包括美丽河湖保护与建设项目和地表水保护治理项目），以项目实施推动水生态环境质量持续改善。</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提供</w:t>
            </w:r>
            <w:r>
              <w:rPr>
                <w:rStyle w:val="8"/>
                <w:rFonts w:hint="default" w:ascii="黑体" w:hAnsi="宋体" w:eastAsia="黑体" w:cs="黑体"/>
                <w:color w:val="000000"/>
                <w:kern w:val="2"/>
                <w:sz w:val="21"/>
                <w:szCs w:val="21"/>
                <w:lang w:val="en-US" w:eastAsia="zh-CN" w:bidi="ar"/>
              </w:rPr>
              <w:t>）</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53E632CA">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06BA90DB">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46BDF1EC">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2467" w:hRule="atLeast"/>
        </w:trPr>
        <w:tc>
          <w:tcPr>
            <w:tcW w:w="177" w:type="pct"/>
            <w:tcBorders>
              <w:top w:val="single" w:color="FF0000" w:sz="6" w:space="0"/>
              <w:left w:val="single" w:color="FF0000" w:sz="6" w:space="0"/>
              <w:bottom w:val="single" w:color="FF0000" w:sz="6" w:space="0"/>
              <w:right w:val="single" w:color="FF0000" w:sz="6" w:space="0"/>
            </w:tcBorders>
            <w:noWrap w:val="0"/>
            <w:vAlign w:val="center"/>
          </w:tcPr>
          <w:p w14:paraId="7CF89B83">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Times New Roman" w:hAnsi="Times New Roman" w:eastAsia="微软雅黑" w:cs="Times New Roman"/>
                <w:i w:val="0"/>
                <w:iCs w:val="0"/>
                <w:color w:val="000000"/>
                <w:kern w:val="0"/>
                <w:sz w:val="21"/>
                <w:szCs w:val="21"/>
                <w:lang w:val="en-US" w:eastAsia="zh-CN"/>
              </w:rPr>
            </w:pPr>
            <w:r>
              <w:rPr>
                <w:rFonts w:hint="eastAsia" w:ascii="Times New Roman" w:hAnsi="Times New Roman" w:eastAsia="微软雅黑" w:cs="Times New Roman"/>
                <w:i w:val="0"/>
                <w:iCs w:val="0"/>
                <w:color w:val="000000"/>
                <w:kern w:val="0"/>
                <w:sz w:val="21"/>
                <w:szCs w:val="21"/>
                <w:lang w:val="en-US" w:eastAsia="zh-CN"/>
              </w:rPr>
              <w:t>8</w:t>
            </w:r>
          </w:p>
        </w:tc>
        <w:tc>
          <w:tcPr>
            <w:tcW w:w="419" w:type="pct"/>
            <w:vMerge w:val="continue"/>
            <w:tcBorders>
              <w:left w:val="single" w:color="FF0000" w:sz="6" w:space="0"/>
              <w:bottom w:val="single" w:color="FF0000" w:sz="6" w:space="0"/>
              <w:right w:val="single" w:color="FF0000" w:sz="6" w:space="0"/>
            </w:tcBorders>
            <w:noWrap w:val="0"/>
            <w:vAlign w:val="center"/>
          </w:tcPr>
          <w:p w14:paraId="5FD90FD5">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1573" w:type="pct"/>
            <w:tcBorders>
              <w:top w:val="single" w:color="FF0000" w:sz="6" w:space="0"/>
              <w:left w:val="single" w:color="FF0000" w:sz="6" w:space="0"/>
              <w:bottom w:val="single" w:color="FF0000" w:sz="6" w:space="0"/>
              <w:right w:val="single" w:color="FF0000" w:sz="6" w:space="0"/>
            </w:tcBorders>
            <w:noWrap w:val="0"/>
            <w:vAlign w:val="center"/>
          </w:tcPr>
          <w:p w14:paraId="255CAB4B">
            <w:pPr>
              <w:keepNext w:val="0"/>
              <w:keepLines w:val="0"/>
              <w:widowControl/>
              <w:suppressLineNumbers w:val="0"/>
              <w:autoSpaceDE w:val="0"/>
              <w:autoSpaceDN/>
              <w:spacing w:before="0" w:beforeAutospacing="0" w:after="0" w:afterAutospacing="0" w:line="260" w:lineRule="exact"/>
              <w:ind w:left="0" w:right="0"/>
              <w:jc w:val="left"/>
              <w:textAlignment w:val="center"/>
              <w:rPr>
                <w:rStyle w:val="8"/>
                <w:rFonts w:hint="default" w:ascii="仿宋_GB2312" w:hAnsi="Times New Roman" w:eastAsia="仿宋_GB2312" w:cs="仿宋_GB2312"/>
                <w:color w:val="000000"/>
                <w:kern w:val="2"/>
                <w:sz w:val="21"/>
                <w:szCs w:val="21"/>
                <w:lang w:val="en-US" w:eastAsia="zh-CN" w:bidi="ar"/>
              </w:rPr>
            </w:pPr>
            <w:r>
              <w:rPr>
                <w:rStyle w:val="8"/>
                <w:rFonts w:hint="default" w:ascii="仿宋_GB2312" w:hAnsi="Times New Roman" w:eastAsia="仿宋_GB2312" w:cs="仿宋_GB2312"/>
                <w:color w:val="000000"/>
                <w:kern w:val="2"/>
                <w:sz w:val="21"/>
                <w:szCs w:val="21"/>
                <w:lang w:val="en-US" w:eastAsia="zh-CN" w:bidi="ar"/>
              </w:rPr>
              <w:t>加强重点湖库富营养化和水华监测，指导有关地方编制阅海、沙湖等湖库“一湖（库）一策”富营养化防控方案，提升突发大面积水华应对能力，确保重点湖库水质达标。</w:t>
            </w:r>
            <w:r>
              <w:rPr>
                <w:rStyle w:val="8"/>
                <w:rFonts w:hint="default" w:ascii="黑体" w:hAnsi="宋体" w:eastAsia="黑体" w:cs="黑体"/>
                <w:color w:val="000000"/>
                <w:kern w:val="2"/>
                <w:sz w:val="21"/>
                <w:szCs w:val="21"/>
                <w:lang w:val="en-US" w:eastAsia="zh-CN" w:bidi="ar"/>
              </w:rPr>
              <w:t>（自治区生态环境厅</w:t>
            </w:r>
            <w:r>
              <w:rPr>
                <w:rStyle w:val="8"/>
                <w:rFonts w:hint="eastAsia" w:ascii="黑体" w:hAnsi="宋体" w:eastAsia="黑体" w:cs="黑体"/>
                <w:color w:val="000000"/>
                <w:kern w:val="2"/>
                <w:sz w:val="21"/>
                <w:szCs w:val="21"/>
                <w:lang w:val="en-US" w:eastAsia="zh-CN" w:bidi="ar"/>
              </w:rPr>
              <w:t>提供</w:t>
            </w:r>
            <w:r>
              <w:rPr>
                <w:rStyle w:val="8"/>
                <w:rFonts w:hint="default" w:ascii="黑体" w:hAnsi="宋体" w:eastAsia="黑体" w:cs="黑体"/>
                <w:color w:val="000000"/>
                <w:kern w:val="2"/>
                <w:sz w:val="21"/>
                <w:szCs w:val="21"/>
                <w:lang w:val="en-US" w:eastAsia="zh-CN" w:bidi="ar"/>
              </w:rPr>
              <w:t>）</w:t>
            </w:r>
          </w:p>
        </w:tc>
        <w:tc>
          <w:tcPr>
            <w:tcW w:w="2333" w:type="pct"/>
            <w:tcBorders>
              <w:top w:val="single" w:color="FF0000" w:sz="6" w:space="0"/>
              <w:left w:val="single" w:color="FF0000" w:sz="6" w:space="0"/>
              <w:bottom w:val="single" w:color="FF0000" w:sz="6" w:space="0"/>
              <w:right w:val="single" w:color="FF0000" w:sz="6" w:space="0"/>
            </w:tcBorders>
            <w:noWrap w:val="0"/>
            <w:vAlign w:val="center"/>
          </w:tcPr>
          <w:p w14:paraId="55A78932">
            <w:pPr>
              <w:keepNext w:val="0"/>
              <w:keepLines w:val="0"/>
              <w:widowControl/>
              <w:suppressLineNumbers w:val="0"/>
              <w:autoSpaceDE w:val="0"/>
              <w:autoSpaceDN/>
              <w:spacing w:before="0" w:beforeAutospacing="0" w:after="0" w:afterAutospacing="0" w:line="260" w:lineRule="exact"/>
              <w:ind w:left="0" w:right="0"/>
              <w:jc w:val="center"/>
              <w:textAlignment w:val="center"/>
              <w:rPr>
                <w:rStyle w:val="8"/>
                <w:rFonts w:hint="default" w:ascii="仿宋_GB2312" w:hAnsi="Times New Roman" w:eastAsia="仿宋_GB2312" w:cs="仿宋_GB2312"/>
                <w:color w:val="000000"/>
                <w:kern w:val="2"/>
                <w:sz w:val="21"/>
                <w:szCs w:val="21"/>
                <w:lang w:val="en-US" w:eastAsia="zh-CN" w:bidi="ar"/>
              </w:rPr>
            </w:pPr>
          </w:p>
        </w:tc>
        <w:tc>
          <w:tcPr>
            <w:tcW w:w="496" w:type="pct"/>
            <w:tcBorders>
              <w:top w:val="single" w:color="FF0000" w:sz="6" w:space="0"/>
              <w:left w:val="single" w:color="FF0000" w:sz="6" w:space="0"/>
              <w:bottom w:val="single" w:color="FF0000" w:sz="6" w:space="0"/>
              <w:right w:val="single" w:color="FF0000" w:sz="6" w:space="0"/>
            </w:tcBorders>
            <w:noWrap w:val="0"/>
            <w:vAlign w:val="center"/>
          </w:tcPr>
          <w:p w14:paraId="60A52BC8">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bl>
    <w:p w14:paraId="4CC4FD75">
      <w:pPr>
        <w:sectPr>
          <w:pgSz w:w="16838" w:h="11906" w:orient="landscape"/>
          <w:pgMar w:top="1587" w:right="2098" w:bottom="1474" w:left="1984" w:header="851" w:footer="992" w:gutter="0"/>
          <w:pgNumType w:fmt="numberInDash"/>
          <w:cols w:space="720" w:num="1"/>
          <w:titlePg/>
          <w:rtlGutter w:val="0"/>
          <w:docGrid w:type="lines" w:linePitch="317" w:charSpace="0"/>
        </w:sectPr>
      </w:pPr>
    </w:p>
    <w:p w14:paraId="5300A770">
      <w:pPr>
        <w:pStyle w:val="4"/>
        <w:widowControl/>
        <w:ind w:left="0" w:leftChars="0" w:firstLine="0" w:firstLineChars="0"/>
        <w:jc w:val="center"/>
        <w:rPr>
          <w:rFonts w:hint="eastAsia" w:ascii="方正小标宋_GBK" w:hAnsi="方正小标宋_GBK" w:eastAsia="方正小标宋_GBK" w:cs="方正小标宋_GBK"/>
          <w:i w:val="0"/>
          <w:iCs w:val="0"/>
          <w:color w:val="000000"/>
          <w:kern w:val="0"/>
          <w:sz w:val="44"/>
          <w:szCs w:val="44"/>
        </w:rPr>
      </w:pPr>
      <w:r>
        <w:rPr>
          <w:rFonts w:hint="eastAsia" w:ascii="方正小标宋简体" w:hAnsi="方正小标宋简体" w:eastAsia="方正小标宋简体" w:cs="方正小标宋简体"/>
          <w:color w:val="000000"/>
          <w:sz w:val="43"/>
          <w:szCs w:val="43"/>
          <w:lang w:eastAsia="zh-CN"/>
        </w:rPr>
        <w:t>自治区</w:t>
      </w:r>
      <w:r>
        <w:rPr>
          <w:rFonts w:hint="eastAsia" w:ascii="方正小标宋简体" w:hAnsi="方正小标宋简体" w:eastAsia="方正小标宋简体" w:cs="方正小标宋简体"/>
          <w:color w:val="000000"/>
          <w:sz w:val="43"/>
          <w:szCs w:val="43"/>
        </w:rPr>
        <w:t>河湖生态保护修复行动</w:t>
      </w:r>
      <w:r>
        <w:rPr>
          <w:rFonts w:hint="eastAsia" w:ascii="方正小标宋_GBK" w:hAnsi="方正小标宋_GBK" w:eastAsia="方正小标宋_GBK" w:cs="方正小标宋_GBK"/>
          <w:i w:val="0"/>
          <w:iCs w:val="0"/>
          <w:color w:val="000000"/>
          <w:kern w:val="0"/>
          <w:sz w:val="44"/>
          <w:szCs w:val="44"/>
        </w:rPr>
        <w:t>任务推进情况</w:t>
      </w:r>
    </w:p>
    <w:tbl>
      <w:tblPr>
        <w:tblStyle w:val="6"/>
        <w:tblW w:w="5038" w:type="pct"/>
        <w:jc w:val="center"/>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Layout w:type="autofit"/>
        <w:tblCellMar>
          <w:top w:w="0" w:type="dxa"/>
          <w:left w:w="108" w:type="dxa"/>
          <w:bottom w:w="0" w:type="dxa"/>
          <w:right w:w="108" w:type="dxa"/>
        </w:tblCellMar>
      </w:tblPr>
      <w:tblGrid>
        <w:gridCol w:w="545"/>
        <w:gridCol w:w="2249"/>
        <w:gridCol w:w="10133"/>
        <w:gridCol w:w="1355"/>
      </w:tblGrid>
      <w:tr w14:paraId="270A1A2D">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666" w:hRule="atLeast"/>
          <w:jc w:val="center"/>
        </w:trPr>
        <w:tc>
          <w:tcPr>
            <w:tcW w:w="191" w:type="pct"/>
            <w:tcBorders>
              <w:top w:val="single" w:color="FF0000" w:sz="6" w:space="0"/>
              <w:left w:val="single" w:color="FF0000" w:sz="6" w:space="0"/>
              <w:bottom w:val="single" w:color="FF0000" w:sz="6" w:space="0"/>
              <w:right w:val="single" w:color="FF0000" w:sz="6" w:space="0"/>
            </w:tcBorders>
            <w:noWrap w:val="0"/>
            <w:vAlign w:val="center"/>
          </w:tcPr>
          <w:p w14:paraId="4AFD1AB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序号</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14D83067">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2"/>
                <w:sz w:val="21"/>
                <w:szCs w:val="21"/>
              </w:rPr>
            </w:pPr>
            <w:r>
              <w:rPr>
                <w:rFonts w:hint="default" w:ascii="黑体" w:hAnsi="宋体" w:eastAsia="黑体" w:cs="黑体"/>
                <w:i w:val="0"/>
                <w:iCs w:val="0"/>
                <w:color w:val="000000"/>
                <w:kern w:val="2"/>
                <w:sz w:val="21"/>
                <w:szCs w:val="21"/>
                <w:lang w:val="en-US" w:eastAsia="zh-CN" w:bidi="ar"/>
              </w:rPr>
              <w:t>责任单位</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0EC5BE8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default" w:ascii="黑体" w:hAnsi="宋体" w:eastAsia="黑体" w:cs="黑体"/>
                <w:i w:val="0"/>
                <w:iCs w:val="0"/>
                <w:color w:val="000000"/>
                <w:kern w:val="0"/>
                <w:sz w:val="21"/>
                <w:szCs w:val="21"/>
              </w:rPr>
            </w:pPr>
            <w:r>
              <w:rPr>
                <w:rFonts w:hint="default" w:ascii="黑体" w:hAnsi="宋体" w:eastAsia="黑体" w:cs="黑体"/>
                <w:i w:val="0"/>
                <w:iCs w:val="0"/>
                <w:color w:val="000000"/>
                <w:kern w:val="0"/>
                <w:sz w:val="21"/>
                <w:szCs w:val="21"/>
                <w:lang w:val="en-US" w:eastAsia="zh-CN" w:bidi="ar"/>
              </w:rPr>
              <w:t>工作推进情况</w:t>
            </w: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6D80265E">
            <w:pPr>
              <w:keepNext w:val="0"/>
              <w:keepLines w:val="0"/>
              <w:widowControl w:val="0"/>
              <w:suppressLineNumbers w:val="0"/>
              <w:autoSpaceDE w:val="0"/>
              <w:autoSpaceDN/>
              <w:spacing w:before="0" w:beforeAutospacing="0" w:after="0" w:afterAutospacing="0" w:line="260" w:lineRule="exact"/>
              <w:ind w:left="0" w:right="0"/>
              <w:jc w:val="center"/>
              <w:rPr>
                <w:rFonts w:hint="default" w:ascii="Times New Roman" w:hAnsi="Times New Roman" w:eastAsia="微软雅黑" w:cs="Times New Roman"/>
                <w:i w:val="0"/>
                <w:iCs w:val="0"/>
                <w:color w:val="000000"/>
                <w:kern w:val="2"/>
                <w:sz w:val="21"/>
                <w:szCs w:val="21"/>
              </w:rPr>
            </w:pPr>
            <w:r>
              <w:rPr>
                <w:rFonts w:hint="default" w:ascii="黑体" w:hAnsi="宋体" w:eastAsia="黑体" w:cs="黑体"/>
                <w:i w:val="0"/>
                <w:iCs w:val="0"/>
                <w:color w:val="000000"/>
                <w:kern w:val="0"/>
                <w:sz w:val="21"/>
                <w:szCs w:val="21"/>
                <w:lang w:val="en-US" w:eastAsia="zh-CN" w:bidi="ar"/>
              </w:rPr>
              <w:t>备注</w:t>
            </w:r>
          </w:p>
        </w:tc>
      </w:tr>
      <w:tr w14:paraId="2489B3C3">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1" w:type="pct"/>
            <w:tcBorders>
              <w:top w:val="single" w:color="FF0000" w:sz="6" w:space="0"/>
              <w:left w:val="single" w:color="FF0000" w:sz="6" w:space="0"/>
              <w:bottom w:val="single" w:color="FF0000" w:sz="6" w:space="0"/>
              <w:right w:val="single" w:color="FF0000" w:sz="6" w:space="0"/>
            </w:tcBorders>
            <w:noWrap w:val="0"/>
            <w:vAlign w:val="center"/>
          </w:tcPr>
          <w:p w14:paraId="5F73B2D4">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1</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1B9950DE">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lang w:eastAsia="zh-CN"/>
              </w:rPr>
            </w:pPr>
            <w:r>
              <w:rPr>
                <w:rFonts w:hint="eastAsia" w:ascii="仿宋_GB2312" w:hAnsi="微软雅黑" w:eastAsia="仿宋_GB2312" w:cs="仿宋_GB2312"/>
                <w:color w:val="000000"/>
                <w:sz w:val="21"/>
                <w:szCs w:val="21"/>
                <w:lang w:eastAsia="zh-CN"/>
              </w:rPr>
              <w:t>水利厅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0673E31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7AB073C7">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70A22703">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1" w:type="pct"/>
            <w:tcBorders>
              <w:top w:val="single" w:color="FF0000" w:sz="6" w:space="0"/>
              <w:left w:val="single" w:color="FF0000" w:sz="6" w:space="0"/>
              <w:bottom w:val="single" w:color="FF0000" w:sz="6" w:space="0"/>
              <w:right w:val="single" w:color="FF0000" w:sz="6" w:space="0"/>
            </w:tcBorders>
            <w:noWrap w:val="0"/>
            <w:vAlign w:val="center"/>
          </w:tcPr>
          <w:p w14:paraId="5E9687F0">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2</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2ACC1B6C">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仿宋_GB2312" w:hAnsi="微软雅黑" w:eastAsia="仿宋_GB2312" w:cs="仿宋_GB2312"/>
                <w:color w:val="000000"/>
                <w:kern w:val="2"/>
                <w:sz w:val="21"/>
                <w:szCs w:val="21"/>
                <w:lang w:val="en-US" w:eastAsia="zh-CN" w:bidi="ar-SA"/>
              </w:rPr>
            </w:pPr>
            <w:r>
              <w:rPr>
                <w:rStyle w:val="8"/>
                <w:rFonts w:hint="eastAsia" w:ascii="仿宋_GB2312" w:hAnsi="微软雅黑" w:eastAsia="仿宋_GB2312" w:cs="仿宋_GB2312"/>
                <w:color w:val="000000"/>
                <w:kern w:val="2"/>
                <w:sz w:val="21"/>
                <w:szCs w:val="21"/>
                <w:lang w:val="en-US" w:eastAsia="zh-CN" w:bidi="ar"/>
              </w:rPr>
              <w:t>生态环境厅</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27588C35">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04F8C906">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r w14:paraId="20B2CDEE">
        <w:tblPrEx>
          <w:tblBorders>
            <w:top w:val="single" w:color="FF0000" w:sz="6" w:space="0"/>
            <w:left w:val="single" w:color="FF0000" w:sz="6" w:space="0"/>
            <w:bottom w:val="single" w:color="FF0000" w:sz="6" w:space="0"/>
            <w:right w:val="single" w:color="FF0000" w:sz="6" w:space="0"/>
            <w:insideH w:val="single" w:color="FF0000" w:sz="6" w:space="0"/>
            <w:insideV w:val="single" w:color="FF0000" w:sz="6" w:space="0"/>
          </w:tblBorders>
          <w:tblCellMar>
            <w:top w:w="0" w:type="dxa"/>
            <w:left w:w="108" w:type="dxa"/>
            <w:bottom w:w="0" w:type="dxa"/>
            <w:right w:w="108" w:type="dxa"/>
          </w:tblCellMar>
        </w:tblPrEx>
        <w:trPr>
          <w:trHeight w:val="1701" w:hRule="atLeast"/>
          <w:jc w:val="center"/>
        </w:trPr>
        <w:tc>
          <w:tcPr>
            <w:tcW w:w="191" w:type="pct"/>
            <w:tcBorders>
              <w:top w:val="single" w:color="FF0000" w:sz="6" w:space="0"/>
              <w:left w:val="single" w:color="FF0000" w:sz="6" w:space="0"/>
              <w:bottom w:val="single" w:color="FF0000" w:sz="6" w:space="0"/>
              <w:right w:val="single" w:color="FF0000" w:sz="6" w:space="0"/>
            </w:tcBorders>
            <w:noWrap w:val="0"/>
            <w:vAlign w:val="center"/>
          </w:tcPr>
          <w:p w14:paraId="38700CFC">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r>
              <w:rPr>
                <w:rStyle w:val="8"/>
                <w:rFonts w:hint="eastAsia" w:ascii="仿宋_GB2312" w:hAnsi="微软雅黑" w:eastAsia="仿宋_GB2312" w:cs="仿宋_GB2312"/>
                <w:color w:val="000000"/>
                <w:kern w:val="2"/>
                <w:sz w:val="21"/>
                <w:szCs w:val="21"/>
                <w:lang w:val="en-US" w:eastAsia="zh-CN" w:bidi="ar"/>
              </w:rPr>
              <w:t>3</w:t>
            </w:r>
          </w:p>
        </w:tc>
        <w:tc>
          <w:tcPr>
            <w:tcW w:w="787" w:type="pct"/>
            <w:tcBorders>
              <w:top w:val="single" w:color="FF0000" w:sz="6" w:space="0"/>
              <w:left w:val="single" w:color="FF0000" w:sz="6" w:space="0"/>
              <w:bottom w:val="single" w:color="FF0000" w:sz="6" w:space="0"/>
              <w:right w:val="single" w:color="FF0000" w:sz="6" w:space="0"/>
            </w:tcBorders>
            <w:noWrap w:val="0"/>
            <w:vAlign w:val="center"/>
          </w:tcPr>
          <w:p w14:paraId="561D6BF1">
            <w:pPr>
              <w:keepNext w:val="0"/>
              <w:keepLines w:val="0"/>
              <w:widowControl/>
              <w:suppressLineNumbers w:val="0"/>
              <w:autoSpaceDE w:val="0"/>
              <w:autoSpaceDN/>
              <w:spacing w:before="0" w:beforeAutospacing="0" w:after="0" w:afterAutospacing="0" w:line="260" w:lineRule="exact"/>
              <w:ind w:left="0" w:leftChars="0" w:right="0" w:rightChars="0"/>
              <w:jc w:val="center"/>
              <w:textAlignment w:val="center"/>
              <w:rPr>
                <w:rFonts w:hint="eastAsia" w:ascii="仿宋_GB2312" w:hAnsi="微软雅黑" w:eastAsia="仿宋_GB2312" w:cs="仿宋_GB2312"/>
                <w:color w:val="000000"/>
                <w:kern w:val="2"/>
                <w:sz w:val="21"/>
                <w:szCs w:val="21"/>
                <w:lang w:val="en-US" w:eastAsia="zh-CN" w:bidi="ar-SA"/>
              </w:rPr>
            </w:pPr>
            <w:r>
              <w:rPr>
                <w:rStyle w:val="8"/>
                <w:rFonts w:hint="eastAsia" w:ascii="仿宋_GB2312" w:hAnsi="微软雅黑" w:eastAsia="仿宋_GB2312" w:cs="仿宋_GB2312"/>
                <w:color w:val="000000"/>
                <w:kern w:val="2"/>
                <w:sz w:val="21"/>
                <w:szCs w:val="21"/>
                <w:lang w:val="en-US" w:eastAsia="zh-CN" w:bidi="ar"/>
              </w:rPr>
              <w:t>林业和草原局</w:t>
            </w:r>
          </w:p>
        </w:tc>
        <w:tc>
          <w:tcPr>
            <w:tcW w:w="3546" w:type="pct"/>
            <w:tcBorders>
              <w:top w:val="single" w:color="FF0000" w:sz="6" w:space="0"/>
              <w:left w:val="single" w:color="FF0000" w:sz="6" w:space="0"/>
              <w:bottom w:val="single" w:color="FF0000" w:sz="6" w:space="0"/>
              <w:right w:val="single" w:color="FF0000" w:sz="6" w:space="0"/>
            </w:tcBorders>
            <w:noWrap w:val="0"/>
            <w:vAlign w:val="center"/>
          </w:tcPr>
          <w:p w14:paraId="52979309">
            <w:pPr>
              <w:keepNext w:val="0"/>
              <w:keepLines w:val="0"/>
              <w:widowControl/>
              <w:suppressLineNumbers w:val="0"/>
              <w:autoSpaceDE w:val="0"/>
              <w:autoSpaceDN/>
              <w:spacing w:before="0" w:beforeAutospacing="0" w:after="0" w:afterAutospacing="0" w:line="260" w:lineRule="exact"/>
              <w:ind w:left="0" w:right="0"/>
              <w:jc w:val="center"/>
              <w:textAlignment w:val="center"/>
              <w:rPr>
                <w:rFonts w:hint="eastAsia" w:ascii="仿宋_GB2312" w:hAnsi="微软雅黑" w:eastAsia="仿宋_GB2312" w:cs="仿宋_GB2312"/>
                <w:color w:val="000000"/>
                <w:sz w:val="21"/>
                <w:szCs w:val="21"/>
              </w:rPr>
            </w:pPr>
          </w:p>
        </w:tc>
        <w:tc>
          <w:tcPr>
            <w:tcW w:w="474" w:type="pct"/>
            <w:tcBorders>
              <w:top w:val="single" w:color="FF0000" w:sz="6" w:space="0"/>
              <w:left w:val="single" w:color="FF0000" w:sz="6" w:space="0"/>
              <w:bottom w:val="single" w:color="FF0000" w:sz="6" w:space="0"/>
              <w:right w:val="single" w:color="FF0000" w:sz="6" w:space="0"/>
            </w:tcBorders>
            <w:noWrap w:val="0"/>
            <w:vAlign w:val="center"/>
          </w:tcPr>
          <w:p w14:paraId="7B9720AC">
            <w:pPr>
              <w:keepNext w:val="0"/>
              <w:keepLines w:val="0"/>
              <w:widowControl w:val="0"/>
              <w:suppressLineNumbers w:val="0"/>
              <w:autoSpaceDE w:val="0"/>
              <w:autoSpaceDN/>
              <w:spacing w:before="0" w:beforeAutospacing="0" w:after="0" w:afterAutospacing="0" w:line="260" w:lineRule="exact"/>
              <w:ind w:left="0" w:right="0"/>
              <w:jc w:val="left"/>
              <w:rPr>
                <w:rFonts w:hint="default" w:ascii="Times New Roman" w:hAnsi="Times New Roman" w:eastAsia="微软雅黑" w:cs="Times New Roman"/>
                <w:i w:val="0"/>
                <w:iCs w:val="0"/>
                <w:color w:val="000000"/>
                <w:kern w:val="2"/>
                <w:sz w:val="21"/>
                <w:szCs w:val="21"/>
              </w:rPr>
            </w:pPr>
          </w:p>
        </w:tc>
      </w:tr>
    </w:tbl>
    <w:p w14:paraId="20A0AF89"/>
    <w:p w14:paraId="0F35F2DF"/>
    <w:p w14:paraId="1AEC9B2B">
      <w:pPr>
        <w:pStyle w:val="2"/>
      </w:pPr>
    </w:p>
    <w:p w14:paraId="1D377E4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125AE"/>
    <w:rsid w:val="4121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2"/>
      <w:sz w:val="21"/>
      <w:szCs w:val="21"/>
      <w:lang w:val="en-US" w:eastAsia="zh-CN" w:bidi="ar"/>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16"/>
    <w:basedOn w:val="7"/>
    <w:qFormat/>
    <w:uiPriority w:val="0"/>
    <w:rPr>
      <w:rFonts w:hint="eastAsia" w:ascii="仿宋_GB2312" w:eastAsia="仿宋_GB2312" w:cs="仿宋_GB2312"/>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2026-03-17T06:34:00Z</dcterms:created>
  <dc:creator>yxy</dc:creator>
  <cp:lastModifiedBy>yxy</cp:lastModifiedBy>
  <dcterms:modified xsi:type="dcterms:W3CDTF">2026-03-17T06:35:18Z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0F6A6C754B7248B58D256688F8740337_11</vt:lpwstr>
  </property>
</Properties>
</file>