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A0460">
      <w:pPr>
        <w:pStyle w:val="5"/>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eastAsia="zh-CN"/>
        </w:rPr>
        <w:t>附件</w:t>
      </w:r>
      <w:r>
        <w:rPr>
          <w:rFonts w:hint="default" w:ascii="Times New Roman" w:hAnsi="Times New Roman" w:eastAsia="黑体" w:cs="Times New Roman"/>
          <w:color w:val="000000"/>
          <w:sz w:val="32"/>
          <w:szCs w:val="32"/>
          <w:lang w:val="en-US" w:eastAsia="zh-CN"/>
        </w:rPr>
        <w:t>2</w:t>
      </w:r>
    </w:p>
    <w:p w14:paraId="32928631">
      <w:pPr>
        <w:pStyle w:val="5"/>
        <w:keepNext w:val="0"/>
        <w:keepLines w:val="0"/>
        <w:pageBreakBefore w:val="0"/>
        <w:widowControl/>
        <w:suppressLineNumbers w:val="0"/>
        <w:kinsoku/>
        <w:wordWrap/>
        <w:overflowPunct/>
        <w:topLinePunct w:val="0"/>
        <w:autoSpaceDE/>
        <w:autoSpaceDN/>
        <w:bidi w:val="0"/>
        <w:adjustRightInd/>
        <w:snapToGrid/>
        <w:spacing w:before="318" w:beforeLines="100" w:line="560" w:lineRule="exact"/>
        <w:jc w:val="center"/>
        <w:textAlignment w:val="auto"/>
      </w:pPr>
      <w:bookmarkStart w:id="0" w:name="_GoBack"/>
      <w:r>
        <w:rPr>
          <w:rFonts w:hint="eastAsia" w:ascii="方正小标宋简体" w:hAnsi="方正小标宋简体" w:eastAsia="方正小标宋简体" w:cs="方正小标宋简体"/>
          <w:color w:val="000000"/>
          <w:sz w:val="43"/>
          <w:szCs w:val="43"/>
          <w:lang w:eastAsia="zh-CN"/>
        </w:rPr>
        <w:t>自治区</w:t>
      </w:r>
      <w:r>
        <w:rPr>
          <w:rFonts w:hint="eastAsia" w:ascii="方正小标宋简体" w:hAnsi="方正小标宋简体" w:eastAsia="方正小标宋简体" w:cs="方正小标宋简体"/>
          <w:color w:val="000000"/>
          <w:sz w:val="43"/>
          <w:szCs w:val="43"/>
        </w:rPr>
        <w:t>河湖生态保护修复行动</w:t>
      </w:r>
      <w:r>
        <w:rPr>
          <w:rFonts w:hint="eastAsia" w:ascii="方正小标宋简体" w:hAnsi="方正小标宋简体" w:eastAsia="方正小标宋简体" w:cs="方正小标宋简体"/>
          <w:color w:val="000000"/>
          <w:sz w:val="43"/>
          <w:szCs w:val="43"/>
          <w:lang w:eastAsia="zh-CN"/>
        </w:rPr>
        <w:t>细化方案</w:t>
      </w:r>
    </w:p>
    <w:bookmarkEnd w:id="0"/>
    <w:p w14:paraId="6115C335">
      <w:pPr>
        <w:pStyle w:val="5"/>
        <w:keepNext w:val="0"/>
        <w:keepLines w:val="0"/>
        <w:pageBreakBefore w:val="0"/>
        <w:widowControl/>
        <w:suppressLineNumbers w:val="0"/>
        <w:kinsoku/>
        <w:wordWrap/>
        <w:overflowPunct/>
        <w:topLinePunct w:val="0"/>
        <w:autoSpaceDE/>
        <w:autoSpaceDN/>
        <w:bidi w:val="0"/>
        <w:adjustRightInd/>
        <w:snapToGrid/>
        <w:spacing w:before="318" w:beforeLines="100" w:line="560" w:lineRule="exact"/>
        <w:ind w:firstLine="640" w:firstLineChars="200"/>
        <w:jc w:val="both"/>
        <w:textAlignment w:val="auto"/>
        <w:rPr>
          <w:rFonts w:hint="eastAsia" w:ascii="黑体" w:hAnsi="黑体" w:eastAsia="黑体" w:cs="黑体"/>
          <w:color w:val="000000"/>
          <w:sz w:val="32"/>
          <w:szCs w:val="32"/>
        </w:rPr>
      </w:pPr>
      <w:r>
        <w:rPr>
          <w:rFonts w:hint="eastAsia" w:ascii="Times New Roman" w:hAnsi="Times New Roman" w:eastAsia="仿宋_GB2312" w:cs="Times New Roman"/>
          <w:spacing w:val="0"/>
          <w:kern w:val="2"/>
          <w:sz w:val="32"/>
          <w:szCs w:val="32"/>
          <w:highlight w:val="none"/>
          <w:lang w:val="en-US" w:eastAsia="zh-CN" w:bidi="ar"/>
        </w:rPr>
        <w:t>为贯彻落实《自治区党委办公厅 人民政府办公厅关于印发&lt;生态环境保护治理攻坚年行动实施方案&gt;的通知》（宁党厅字〔2026〕11号）要求，特制定本细化方案。</w:t>
      </w:r>
    </w:p>
    <w:p w14:paraId="5AF4BE83">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黑体" w:hAnsi="黑体" w:eastAsia="黑体" w:cs="黑体"/>
          <w:color w:val="000000"/>
          <w:sz w:val="32"/>
          <w:szCs w:val="32"/>
        </w:rPr>
        <w:t>一、任务目标</w:t>
      </w:r>
    </w:p>
    <w:p w14:paraId="18A58E1E">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2"/>
          <w:sz w:val="32"/>
          <w:szCs w:val="32"/>
          <w:highlight w:val="none"/>
          <w:lang w:val="en-US" w:eastAsia="zh-CN" w:bidi="ar"/>
        </w:rPr>
      </w:pPr>
      <w:r>
        <w:rPr>
          <w:rFonts w:hint="default" w:ascii="Times New Roman" w:hAnsi="Times New Roman" w:eastAsia="仿宋_GB2312" w:cs="Times New Roman"/>
          <w:spacing w:val="0"/>
          <w:kern w:val="2"/>
          <w:sz w:val="32"/>
          <w:szCs w:val="32"/>
          <w:highlight w:val="none"/>
          <w:lang w:val="en-US" w:eastAsia="zh-CN" w:bidi="ar"/>
        </w:rPr>
        <w:t>有效治理水土流失。2026年，新增治理水土流失面积930平方公里，重点河湖生态流量（水位）保障率维持在90%以上，美丽河湖建成率达到30%；2027年，前两项指标值与2026年一致，美丽河湖建成率达到40%以上。</w:t>
      </w:r>
    </w:p>
    <w:p w14:paraId="3C533FFD">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eastAsia="zh-CN"/>
        </w:rPr>
        <w:t>重点措施</w:t>
      </w:r>
    </w:p>
    <w:p w14:paraId="212F740E">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textAlignment w:val="auto"/>
        <w:rPr>
          <w:rFonts w:hint="eastAsia" w:ascii="Times New Roman" w:hAnsi="Times New Roman" w:eastAsia="楷体_GB2312" w:cs="楷体_GB2312"/>
          <w:b w:val="0"/>
          <w:bCs/>
          <w:color w:val="000000"/>
          <w:spacing w:val="0"/>
          <w:kern w:val="2"/>
          <w:sz w:val="32"/>
          <w:szCs w:val="32"/>
          <w:highlight w:val="none"/>
          <w:lang w:val="en-US" w:eastAsia="zh-CN" w:bidi="ar"/>
        </w:rPr>
      </w:pPr>
      <w:r>
        <w:rPr>
          <w:rFonts w:hint="eastAsia" w:ascii="Times New Roman" w:hAnsi="Times New Roman" w:eastAsia="楷体_GB2312" w:cs="楷体_GB2312"/>
          <w:b w:val="0"/>
          <w:bCs/>
          <w:color w:val="000000"/>
          <w:spacing w:val="0"/>
          <w:kern w:val="2"/>
          <w:sz w:val="32"/>
          <w:szCs w:val="32"/>
          <w:highlight w:val="none"/>
          <w:lang w:val="en-US" w:eastAsia="zh-CN" w:bidi="ar"/>
        </w:rPr>
        <w:t>（一）实施清水河、苦水河水土流失综合治理。</w:t>
      </w:r>
    </w:p>
    <w:p w14:paraId="7E78AFB5">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3" w:firstLineChars="200"/>
        <w:jc w:val="both"/>
        <w:textAlignment w:val="auto"/>
        <w:rPr>
          <w:rFonts w:hint="default" w:ascii="Times New Roman" w:hAnsi="Times New Roman" w:eastAsia="仿宋_GB2312" w:cs="Times New Roman"/>
          <w:b w:val="0"/>
          <w:bCs/>
          <w:spacing w:val="0"/>
          <w:kern w:val="2"/>
          <w:sz w:val="32"/>
          <w:szCs w:val="32"/>
          <w:highlight w:val="none"/>
        </w:rPr>
      </w:pPr>
      <w:r>
        <w:rPr>
          <w:rFonts w:hint="eastAsia" w:ascii="Times New Roman" w:hAnsi="Times New Roman" w:eastAsia="楷体_GB2312" w:cs="楷体_GB2312"/>
          <w:b/>
          <w:bCs w:val="0"/>
          <w:color w:val="000000"/>
          <w:spacing w:val="0"/>
          <w:kern w:val="2"/>
          <w:sz w:val="32"/>
          <w:szCs w:val="32"/>
          <w:highlight w:val="none"/>
          <w:lang w:val="en-US" w:eastAsia="zh-CN" w:bidi="ar"/>
        </w:rPr>
        <w:t>1.</w:t>
      </w:r>
      <w:r>
        <w:rPr>
          <w:rFonts w:hint="eastAsia" w:ascii="Times New Roman" w:hAnsi="Times New Roman" w:eastAsia="仿宋_GB2312" w:cs="仿宋_GB2312"/>
          <w:b w:val="0"/>
          <w:bCs/>
          <w:color w:val="000000"/>
          <w:spacing w:val="0"/>
          <w:kern w:val="2"/>
          <w:sz w:val="32"/>
          <w:szCs w:val="32"/>
          <w:highlight w:val="none"/>
          <w:lang w:val="en-US" w:eastAsia="zh-CN" w:bidi="ar"/>
        </w:rPr>
        <w:t>按年度下达水土流失防治任务，统筹实施小流域治理、坡耕地整治和淤地坝建设等水土保持措施，2026年度组织实施西吉、海原、平罗等县区17个小流域综合治理提质增效项目，水土保持率达到78.19%以上。</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（责任单位：自治区水利厅，各市、县</w:t>
      </w:r>
      <w:r>
        <w:rPr>
          <w:rFonts w:hint="eastAsia" w:ascii="仿宋_GB2312" w:hAnsi="仿宋_GB2312" w:eastAsia="仿宋_GB2312" w:cs="仿宋_GB2312"/>
          <w:b w:val="0"/>
          <w:bCs/>
          <w:color w:val="000000"/>
          <w:spacing w:val="0"/>
          <w:kern w:val="2"/>
          <w:sz w:val="32"/>
          <w:szCs w:val="32"/>
          <w:highlight w:val="none"/>
          <w:lang w:val="en-US" w:eastAsia="zh-CN" w:bidi="ar"/>
        </w:rPr>
        <w:t>〔</w:t>
      </w:r>
      <w:r>
        <w:rPr>
          <w:rFonts w:hint="eastAsia" w:ascii="楷体_GB2312" w:hAnsi="楷体_GB2312" w:eastAsia="楷体_GB2312" w:cs="楷体_GB2312"/>
          <w:b w:val="0"/>
          <w:bCs/>
          <w:color w:val="000000"/>
          <w:spacing w:val="0"/>
          <w:kern w:val="2"/>
          <w:sz w:val="32"/>
          <w:szCs w:val="32"/>
          <w:highlight w:val="none"/>
          <w:lang w:val="en-US" w:eastAsia="zh-CN" w:bidi="ar"/>
        </w:rPr>
        <w:t>区</w:t>
      </w:r>
      <w:r>
        <w:rPr>
          <w:rFonts w:hint="eastAsia" w:ascii="仿宋_GB2312" w:hAnsi="仿宋_GB2312" w:eastAsia="仿宋_GB2312" w:cs="仿宋_GB2312"/>
          <w:b w:val="0"/>
          <w:bCs/>
          <w:color w:val="000000"/>
          <w:spacing w:val="0"/>
          <w:kern w:val="2"/>
          <w:sz w:val="32"/>
          <w:szCs w:val="32"/>
          <w:highlight w:val="none"/>
          <w:lang w:val="en-US" w:eastAsia="zh-CN" w:bidi="ar"/>
        </w:rPr>
        <w:t>〕</w:t>
      </w:r>
      <w:r>
        <w:rPr>
          <w:rFonts w:hint="eastAsia" w:ascii="楷体_GB2312" w:hAnsi="楷体_GB2312" w:eastAsia="楷体_GB2312" w:cs="楷体_GB2312"/>
          <w:b w:val="0"/>
          <w:bCs/>
          <w:color w:val="000000"/>
          <w:spacing w:val="0"/>
          <w:kern w:val="2"/>
          <w:sz w:val="32"/>
          <w:szCs w:val="32"/>
          <w:highlight w:val="none"/>
          <w:lang w:val="en-US" w:eastAsia="zh-CN" w:bidi="ar"/>
        </w:rPr>
        <w:t>人民政府，宁东管委会。以下任务均需各市、县</w:t>
      </w:r>
      <w:r>
        <w:rPr>
          <w:rFonts w:hint="eastAsia" w:ascii="仿宋_GB2312" w:hAnsi="仿宋_GB2312" w:eastAsia="仿宋_GB2312" w:cs="仿宋_GB2312"/>
          <w:b w:val="0"/>
          <w:bCs/>
          <w:color w:val="000000"/>
          <w:spacing w:val="0"/>
          <w:kern w:val="2"/>
          <w:sz w:val="32"/>
          <w:szCs w:val="32"/>
          <w:highlight w:val="none"/>
          <w:lang w:val="en-US" w:eastAsia="zh-CN" w:bidi="ar"/>
        </w:rPr>
        <w:t>〔</w:t>
      </w:r>
      <w:r>
        <w:rPr>
          <w:rFonts w:hint="eastAsia" w:ascii="楷体_GB2312" w:hAnsi="楷体_GB2312" w:eastAsia="楷体_GB2312" w:cs="楷体_GB2312"/>
          <w:b w:val="0"/>
          <w:bCs/>
          <w:color w:val="000000"/>
          <w:spacing w:val="0"/>
          <w:kern w:val="2"/>
          <w:sz w:val="32"/>
          <w:szCs w:val="32"/>
          <w:highlight w:val="none"/>
          <w:lang w:val="en-US" w:eastAsia="zh-CN" w:bidi="ar"/>
        </w:rPr>
        <w:t>区</w:t>
      </w:r>
      <w:r>
        <w:rPr>
          <w:rFonts w:hint="eastAsia" w:ascii="仿宋_GB2312" w:hAnsi="仿宋_GB2312" w:eastAsia="仿宋_GB2312" w:cs="仿宋_GB2312"/>
          <w:b w:val="0"/>
          <w:bCs/>
          <w:color w:val="000000"/>
          <w:spacing w:val="0"/>
          <w:kern w:val="2"/>
          <w:sz w:val="32"/>
          <w:szCs w:val="32"/>
          <w:highlight w:val="none"/>
          <w:lang w:val="en-US" w:eastAsia="zh-CN" w:bidi="ar"/>
        </w:rPr>
        <w:t>〕</w:t>
      </w:r>
      <w:r>
        <w:rPr>
          <w:rFonts w:hint="eastAsia" w:ascii="楷体_GB2312" w:hAnsi="楷体_GB2312" w:eastAsia="楷体_GB2312" w:cs="楷体_GB2312"/>
          <w:b w:val="0"/>
          <w:bCs/>
          <w:color w:val="000000"/>
          <w:spacing w:val="0"/>
          <w:kern w:val="2"/>
          <w:sz w:val="32"/>
          <w:szCs w:val="32"/>
          <w:highlight w:val="none"/>
          <w:lang w:val="en-US" w:eastAsia="zh-CN" w:bidi="ar"/>
        </w:rPr>
        <w:t>人民政府及宁东管委会落实，不再单独列出）</w:t>
      </w:r>
    </w:p>
    <w:p w14:paraId="38F0FF19">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textAlignment w:val="auto"/>
        <w:rPr>
          <w:rFonts w:hint="eastAsia" w:ascii="Times New Roman" w:hAnsi="Times New Roman" w:eastAsia="楷体_GB2312" w:cs="楷体_GB2312"/>
          <w:b w:val="0"/>
          <w:bCs/>
          <w:color w:val="000000"/>
          <w:spacing w:val="0"/>
          <w:kern w:val="2"/>
          <w:sz w:val="32"/>
          <w:szCs w:val="32"/>
          <w:highlight w:val="none"/>
          <w:lang w:val="en-US" w:eastAsia="zh-CN" w:bidi="ar"/>
        </w:rPr>
      </w:pPr>
      <w:r>
        <w:rPr>
          <w:rFonts w:hint="eastAsia" w:ascii="Times New Roman" w:hAnsi="Times New Roman" w:eastAsia="楷体_GB2312" w:cs="楷体_GB2312"/>
          <w:b w:val="0"/>
          <w:bCs/>
          <w:color w:val="000000"/>
          <w:spacing w:val="0"/>
          <w:kern w:val="2"/>
          <w:sz w:val="32"/>
          <w:szCs w:val="32"/>
          <w:highlight w:val="none"/>
          <w:lang w:val="en-US" w:eastAsia="zh-CN" w:bidi="ar"/>
        </w:rPr>
        <w:t>（二）实施清水河、苦水河生态保护修复工程。</w:t>
      </w:r>
    </w:p>
    <w:p w14:paraId="2730F3A9">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3"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2.实施宁夏南部生态保护修复与水土流失综合治理</w:t>
      </w:r>
      <w:r>
        <w:rPr>
          <w:rFonts w:hint="eastAsia" w:ascii="Times New Roman" w:hAnsi="Times New Roman" w:eastAsia="仿宋_GB2312" w:cs="仿宋_GB2312"/>
          <w:b w:val="0"/>
          <w:bCs/>
          <w:color w:val="000000"/>
          <w:spacing w:val="0"/>
          <w:kern w:val="2"/>
          <w:sz w:val="32"/>
          <w:szCs w:val="32"/>
          <w:highlight w:val="none"/>
          <w:lang w:val="en-US" w:eastAsia="zh-CN" w:bidi="ar"/>
        </w:rPr>
        <w:t>。结合区域营造林适宜空间分布、立地条件及生态功能需求，建设水源涵养林和人工种草，进一步巩固林草植被，提升区域水源涵养能力。针对区域内沙化土地分布特点及沙化程度，采用“工程固沙+灌草结合”模式，通过沙障铺设、灌草种植等，提升沙化土地植被覆盖度和固沙能力，逐步改善沙化区域生态环境。对水土流失严重、植被覆盖率低、生态脆弱且人为干扰频繁的区域，实施封山育林，明确封育范围、划定封育界限，设立防护标识，以自然修复为主，人工促进为辅，加快区域植被恢复与生态演替，稳步提升植被覆盖度。</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（责任单位：自治区林草局）</w:t>
      </w:r>
    </w:p>
    <w:p w14:paraId="49FE7B4D">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3"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3.实施库布齐沙漠—毛乌素沙地沙化土地综合治理。</w:t>
      </w:r>
      <w:r>
        <w:rPr>
          <w:rFonts w:hint="eastAsia" w:ascii="Times New Roman" w:hAnsi="Times New Roman" w:eastAsia="仿宋_GB2312" w:cs="仿宋_GB2312"/>
          <w:b w:val="0"/>
          <w:bCs/>
          <w:color w:val="000000"/>
          <w:spacing w:val="0"/>
          <w:kern w:val="2"/>
          <w:sz w:val="32"/>
          <w:szCs w:val="32"/>
          <w:highlight w:val="none"/>
          <w:lang w:val="en-US" w:eastAsia="zh-CN" w:bidi="ar"/>
        </w:rPr>
        <w:t>全面推进封山育林、退化林草修复等工程，通过围栏封育、人工种草、补播改良等方式，持续提升林草综合植被盖度。推广麦草方格、蓝藻沙结皮等固沙新技术，有效遏制区域土地荒漠化、沙化趋势。加强区域协同配合，统筹推进沙地治理各项工作。健全管护体系，明确管护责任，加强日常巡护，严禁乱砍滥伐、放牧等破坏行为。</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（责任单位：自治区林草局）</w:t>
      </w:r>
    </w:p>
    <w:p w14:paraId="6E8859D7">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textAlignment w:val="auto"/>
        <w:rPr>
          <w:rFonts w:hint="eastAsia" w:ascii="Times New Roman" w:hAnsi="Times New Roman" w:eastAsia="楷体_GB2312" w:cs="楷体_GB2312"/>
          <w:b w:val="0"/>
          <w:bCs/>
          <w:color w:val="000000"/>
          <w:spacing w:val="0"/>
          <w:kern w:val="2"/>
          <w:sz w:val="32"/>
          <w:szCs w:val="32"/>
          <w:highlight w:val="none"/>
          <w:lang w:val="en-US" w:eastAsia="zh-CN" w:bidi="ar"/>
        </w:rPr>
      </w:pPr>
      <w:r>
        <w:rPr>
          <w:rFonts w:hint="eastAsia" w:ascii="Times New Roman" w:hAnsi="Times New Roman" w:eastAsia="楷体_GB2312" w:cs="楷体_GB2312"/>
          <w:b w:val="0"/>
          <w:bCs/>
          <w:color w:val="000000"/>
          <w:spacing w:val="0"/>
          <w:kern w:val="2"/>
          <w:sz w:val="32"/>
          <w:szCs w:val="32"/>
          <w:highlight w:val="none"/>
          <w:lang w:val="en-US" w:eastAsia="zh-CN" w:bidi="ar"/>
        </w:rPr>
        <w:t>（三）实施重点河湖生态复苏。</w:t>
      </w:r>
    </w:p>
    <w:p w14:paraId="3CC27C2D">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4.明确水利水电工程泄放生态流量目标。</w:t>
      </w:r>
      <w:r>
        <w:rPr>
          <w:rFonts w:hint="eastAsia" w:ascii="Times New Roman" w:hAnsi="Times New Roman" w:eastAsia="仿宋_GB2312" w:cs="仿宋_GB2312"/>
          <w:b w:val="0"/>
          <w:bCs/>
          <w:color w:val="000000"/>
          <w:spacing w:val="0"/>
          <w:kern w:val="2"/>
          <w:sz w:val="32"/>
          <w:szCs w:val="32"/>
          <w:highlight w:val="none"/>
          <w:lang w:val="en-US" w:eastAsia="zh-CN" w:bidi="ar"/>
        </w:rPr>
        <w:t>2026年4月底前，组织固原市分析清水河二营水库、渝河三里店水库、颉河洪沟水库等水利工程下游控制断面生态用水需求，明确泄放生态流量目标，编制生态流量确定方案。</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（责任单位：自治区水利厅）</w:t>
      </w:r>
    </w:p>
    <w:p w14:paraId="0D8D92DC">
      <w:pPr>
        <w:pStyle w:val="5"/>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5.开展重点河湖断面生态流量监测。</w:t>
      </w:r>
      <w:r>
        <w:rPr>
          <w:rFonts w:hint="eastAsia" w:ascii="Times New Roman" w:hAnsi="Times New Roman" w:eastAsia="仿宋_GB2312" w:cs="仿宋_GB2312"/>
          <w:b w:val="0"/>
          <w:bCs/>
          <w:color w:val="000000"/>
          <w:spacing w:val="0"/>
          <w:kern w:val="2"/>
          <w:sz w:val="32"/>
          <w:szCs w:val="32"/>
          <w:highlight w:val="none"/>
          <w:lang w:val="en-US" w:eastAsia="zh-CN" w:bidi="ar"/>
        </w:rPr>
        <w:t>对清水河、沙湖等重点河湖控制性断面开展常态化监测，对来水量或水位接近生态流量限值情况实施预警，提升生态流量保障程度。</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（责任单位：自治区水利厅）</w:t>
      </w:r>
    </w:p>
    <w:p w14:paraId="6E6739DC">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textAlignment w:val="auto"/>
        <w:rPr>
          <w:rFonts w:hint="eastAsia" w:ascii="Times New Roman" w:hAnsi="Times New Roman" w:eastAsia="楷体_GB2312" w:cs="楷体_GB2312"/>
          <w:b w:val="0"/>
          <w:bCs/>
          <w:color w:val="000000"/>
          <w:spacing w:val="0"/>
          <w:kern w:val="2"/>
          <w:sz w:val="32"/>
          <w:szCs w:val="32"/>
          <w:highlight w:val="none"/>
          <w:lang w:val="en-US" w:eastAsia="zh-CN" w:bidi="ar"/>
        </w:rPr>
      </w:pPr>
      <w:r>
        <w:rPr>
          <w:rFonts w:hint="eastAsia" w:ascii="Times New Roman" w:hAnsi="Times New Roman" w:eastAsia="楷体_GB2312" w:cs="楷体_GB2312"/>
          <w:b w:val="0"/>
          <w:bCs/>
          <w:color w:val="000000"/>
          <w:spacing w:val="0"/>
          <w:kern w:val="2"/>
          <w:sz w:val="32"/>
          <w:szCs w:val="32"/>
          <w:highlight w:val="none"/>
          <w:lang w:val="en-US" w:eastAsia="zh-CN" w:bidi="ar"/>
        </w:rPr>
        <w:t>（四）推动美丽河湖保护与建设。</w:t>
      </w:r>
    </w:p>
    <w:p w14:paraId="3C7531CF">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6.完成国家和自治区美丽河湖清单内水体保护与建设情况评估。</w:t>
      </w:r>
      <w:r>
        <w:rPr>
          <w:rFonts w:hint="eastAsia" w:ascii="Times New Roman" w:hAnsi="Times New Roman" w:eastAsia="仿宋_GB2312" w:cs="仿宋_GB2312"/>
          <w:b w:val="0"/>
          <w:bCs/>
          <w:color w:val="000000"/>
          <w:spacing w:val="0"/>
          <w:kern w:val="2"/>
          <w:sz w:val="32"/>
          <w:szCs w:val="32"/>
          <w:highlight w:val="none"/>
          <w:lang w:val="en-US" w:eastAsia="zh-CN" w:bidi="ar"/>
        </w:rPr>
        <w:t>根据国家《美丽河湖保护与建设参考指标（试行）》等政策文件，组织协同调查与监测分析，形成《宁夏回族自治区美丽河湖建设成效评估报告》。</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（责任单位：自治区生态环境厅）</w:t>
      </w:r>
    </w:p>
    <w:p w14:paraId="06BD0D88">
      <w:pPr>
        <w:pStyle w:val="5"/>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7.建设美丽河湖。</w:t>
      </w:r>
      <w:r>
        <w:rPr>
          <w:rFonts w:hint="eastAsia" w:ascii="Times New Roman" w:hAnsi="Times New Roman" w:eastAsia="仿宋_GB2312" w:cs="仿宋_GB2312"/>
          <w:b w:val="0"/>
          <w:bCs/>
          <w:color w:val="000000"/>
          <w:spacing w:val="0"/>
          <w:kern w:val="2"/>
          <w:sz w:val="32"/>
          <w:szCs w:val="32"/>
          <w:highlight w:val="none"/>
          <w:lang w:val="en-US" w:eastAsia="zh-CN" w:bidi="ar"/>
        </w:rPr>
        <w:t>开展美丽河湖保护与建设成效评估，巩固已建成的美丽河湖成效。结合国家申报指南要求，指导各地市因地制宜系统谋划申报水污染治理、水生态修复和水源地保护等项目，积极有序申报中央财政水污染防治项目（包括美丽河湖保护与建设项目和地表水保护治理项目），以项目实施推动水生态环境质量持续改善。</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（责任单位：自治区生态环境厅）</w:t>
      </w:r>
    </w:p>
    <w:p w14:paraId="64932CC0">
      <w:pPr>
        <w:keepNext w:val="0"/>
        <w:keepLines w:val="0"/>
        <w:pageBreakBefore w:val="0"/>
        <w:kinsoku/>
        <w:wordWrap/>
        <w:overflowPunct/>
        <w:topLinePunct w:val="0"/>
        <w:autoSpaceDN/>
        <w:bidi w:val="0"/>
        <w:spacing w:line="560" w:lineRule="exact"/>
        <w:ind w:firstLine="643" w:firstLineChars="200"/>
        <w:textAlignment w:val="auto"/>
        <w:rPr>
          <w:rFonts w:hint="eastAsia" w:ascii="Times New Roman" w:hAnsi="Times New Roman" w:eastAsia="仿宋_GB2312" w:cs="Times New Roman"/>
          <w:spacing w:val="0"/>
          <w:kern w:val="2"/>
          <w:sz w:val="32"/>
          <w:szCs w:val="32"/>
          <w:highlight w:val="none"/>
          <w:lang w:val="en-US" w:eastAsia="zh-CN" w:bidi="ar"/>
        </w:rPr>
      </w:pPr>
      <w:r>
        <w:rPr>
          <w:rFonts w:hint="eastAsia" w:ascii="Times New Roman" w:hAnsi="Times New Roman" w:eastAsia="仿宋_GB2312" w:cs="仿宋_GB2312"/>
          <w:b/>
          <w:bCs w:val="0"/>
          <w:color w:val="000000"/>
          <w:spacing w:val="0"/>
          <w:kern w:val="2"/>
          <w:sz w:val="32"/>
          <w:szCs w:val="32"/>
          <w:highlight w:val="none"/>
          <w:lang w:val="en-US" w:eastAsia="zh-CN" w:bidi="ar"/>
        </w:rPr>
        <w:t>8.</w:t>
      </w:r>
      <w:r>
        <w:rPr>
          <w:rFonts w:hint="default" w:ascii="Times New Roman" w:hAnsi="Times New Roman" w:eastAsia="仿宋_GB2312" w:cs="Times New Roman"/>
          <w:b/>
          <w:bCs w:val="0"/>
          <w:spacing w:val="0"/>
          <w:kern w:val="2"/>
          <w:sz w:val="32"/>
          <w:szCs w:val="32"/>
          <w:highlight w:val="none"/>
          <w:lang w:val="en-US" w:eastAsia="zh-CN" w:bidi="ar"/>
        </w:rPr>
        <w:t>开展重点湖泊富营养化和水华监测</w:t>
      </w:r>
      <w:r>
        <w:rPr>
          <w:rFonts w:hint="eastAsia" w:ascii="Times New Roman" w:hAnsi="Times New Roman" w:eastAsia="仿宋_GB2312" w:cs="Times New Roman"/>
          <w:b/>
          <w:bCs w:val="0"/>
          <w:spacing w:val="0"/>
          <w:kern w:val="2"/>
          <w:sz w:val="32"/>
          <w:szCs w:val="32"/>
          <w:highlight w:val="none"/>
          <w:lang w:val="en-US" w:eastAsia="zh-CN" w:bidi="ar"/>
        </w:rPr>
        <w:t>。</w:t>
      </w:r>
      <w:r>
        <w:rPr>
          <w:rFonts w:hint="eastAsia" w:ascii="Times New Roman" w:hAnsi="Times New Roman" w:eastAsia="仿宋_GB2312" w:cs="Times New Roman"/>
          <w:spacing w:val="0"/>
          <w:kern w:val="2"/>
          <w:sz w:val="32"/>
          <w:szCs w:val="32"/>
          <w:highlight w:val="none"/>
          <w:lang w:val="en-US" w:eastAsia="zh-CN" w:bidi="ar"/>
        </w:rPr>
        <w:t>加强重点湖库富营养化和水华监测，指导有关地方编制阅海、沙湖等湖库“一湖（库）一策”富营养化防控方案，提升突发大面积水华应对能力，确保重点湖库水质达标。</w:t>
      </w:r>
      <w:r>
        <w:rPr>
          <w:rFonts w:hint="eastAsia" w:ascii="楷体_GB2312" w:hAnsi="楷体_GB2312" w:eastAsia="楷体_GB2312" w:cs="楷体_GB2312"/>
          <w:b w:val="0"/>
          <w:bCs/>
          <w:color w:val="000000"/>
          <w:spacing w:val="0"/>
          <w:kern w:val="2"/>
          <w:sz w:val="32"/>
          <w:szCs w:val="32"/>
          <w:highlight w:val="none"/>
          <w:lang w:val="en-US" w:eastAsia="zh-CN" w:bidi="ar"/>
        </w:rPr>
        <w:t>（责任单位：自治区生态环境厅）</w:t>
      </w:r>
    </w:p>
    <w:p w14:paraId="4AC6B92B">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color w:val="000000"/>
          <w:spacing w:val="0"/>
          <w:kern w:val="2"/>
          <w:sz w:val="32"/>
          <w:szCs w:val="32"/>
          <w:highlight w:val="none"/>
          <w:lang w:val="en-US" w:eastAsia="zh-CN" w:bidi="ar"/>
        </w:rPr>
      </w:pPr>
      <w:r>
        <w:rPr>
          <w:rFonts w:hint="eastAsia" w:ascii="黑体" w:hAnsi="黑体" w:eastAsia="黑体" w:cs="黑体"/>
          <w:color w:val="000000"/>
          <w:sz w:val="32"/>
          <w:szCs w:val="32"/>
          <w:lang w:val="en-US" w:eastAsia="zh-CN"/>
        </w:rPr>
        <w:t>三、工作要求</w:t>
      </w:r>
    </w:p>
    <w:p w14:paraId="437552F5">
      <w:pPr>
        <w:keepNext w:val="0"/>
        <w:keepLines w:val="0"/>
        <w:pageBreakBefore w:val="0"/>
        <w:kinsoku/>
        <w:wordWrap/>
        <w:overflowPunct/>
        <w:topLinePunct w:val="0"/>
        <w:autoSpaceDN/>
        <w:bidi w:val="0"/>
        <w:spacing w:line="560" w:lineRule="exact"/>
        <w:ind w:firstLine="640" w:firstLineChars="200"/>
        <w:textAlignment w:val="auto"/>
        <w:rPr>
          <w:rFonts w:hint="eastAsia" w:ascii="Times New Roman" w:hAnsi="Times New Roman" w:eastAsia="仿宋_GB2312" w:cs="Times New Roman"/>
          <w:spacing w:val="0"/>
          <w:kern w:val="2"/>
          <w:sz w:val="32"/>
          <w:szCs w:val="32"/>
          <w:highlight w:val="none"/>
          <w:lang w:val="en-US" w:eastAsia="zh-CN" w:bidi="ar"/>
        </w:rPr>
      </w:pPr>
      <w:r>
        <w:rPr>
          <w:rFonts w:hint="eastAsia" w:ascii="Times New Roman" w:hAnsi="Times New Roman" w:eastAsia="仿宋_GB2312" w:cs="仿宋_GB2312"/>
          <w:b w:val="0"/>
          <w:bCs/>
          <w:color w:val="000000"/>
          <w:spacing w:val="0"/>
          <w:kern w:val="2"/>
          <w:sz w:val="32"/>
          <w:szCs w:val="32"/>
          <w:highlight w:val="none"/>
          <w:lang w:val="en-US" w:eastAsia="zh-CN" w:bidi="ar"/>
        </w:rPr>
        <w:t>各地及自治区各有关部门要切实采取有力举措，跟踪推进河湖生态保护修复行动各项措施，确保高质量完成任务目标。工作推进过程中，若国家下达新的指标要求，自治区各有关部门要及时更新调整，并反馈水利厅汇总报送自治区党委生态文明建设领导小组。各地及自治区各有关部门要按照《自治区党委生态文明建设领导小组办公室关于统筹做好自治区生态环境保护治理攻坚年相关工作的函》（宁党生态办函〔2026〕6号）要求，及时梳理河湖生态保护修复行动任务目标、重点措施推进情况，按要求向自治区党委生态文明建设领导小组办公室、自治区水利厅报送有关情况。</w:t>
      </w:r>
    </w:p>
    <w:p w14:paraId="2594E4FA">
      <w:pPr>
        <w:sectPr>
          <w:footerReference r:id="rId4" w:type="first"/>
          <w:footerReference r:id="rId3" w:type="default"/>
          <w:pgSz w:w="11906" w:h="16838"/>
          <w:pgMar w:top="2098" w:right="1474" w:bottom="1984" w:left="1587" w:header="851" w:footer="1417" w:gutter="0"/>
          <w:pgNumType w:fmt="numberInDash"/>
          <w:cols w:space="720" w:num="1"/>
          <w:rtlGutter w:val="0"/>
          <w:docGrid w:type="lines" w:linePitch="317" w:charSpace="0"/>
        </w:sectPr>
      </w:pPr>
    </w:p>
    <w:p w14:paraId="61964C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6C2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47D09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D47D09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AA78">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7A04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857A04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27316"/>
    <w:rsid w:val="7862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2026-03-17T06:34:00Z</dcterms:created>
  <dc:creator>yxy</dc:creator>
  <cp:lastModifiedBy>yxy</cp:lastModifiedBy>
  <dcterms:modified xsi:type="dcterms:W3CDTF">2026-03-17T06:34:40Z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4D4E33A0995642FFA7A61A663B810290_11</vt:lpwstr>
  </property>
</Properties>
</file>