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9DEC5">
      <w:pPr>
        <w:pStyle w:val="4"/>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color w:val="000000"/>
          <w:sz w:val="43"/>
          <w:szCs w:val="43"/>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14:paraId="0D3D3FAA">
      <w:pPr>
        <w:pStyle w:val="4"/>
        <w:keepNext w:val="0"/>
        <w:keepLines w:val="0"/>
        <w:pageBreakBefore w:val="0"/>
        <w:widowControl/>
        <w:suppressLineNumbers w:val="0"/>
        <w:kinsoku/>
        <w:wordWrap/>
        <w:overflowPunct/>
        <w:topLinePunct w:val="0"/>
        <w:autoSpaceDE/>
        <w:autoSpaceDN/>
        <w:bidi w:val="0"/>
        <w:adjustRightInd/>
        <w:snapToGrid/>
        <w:spacing w:before="318" w:beforeLines="100" w:line="560" w:lineRule="exact"/>
        <w:jc w:val="center"/>
        <w:textAlignment w:val="auto"/>
        <w:rPr>
          <w:rFonts w:hint="eastAsia" w:eastAsia="方正小标宋简体"/>
          <w:lang w:eastAsia="zh-CN"/>
        </w:rPr>
      </w:pPr>
      <w:bookmarkStart w:id="0" w:name="_GoBack"/>
      <w:r>
        <w:rPr>
          <w:rFonts w:hint="eastAsia" w:ascii="方正小标宋简体" w:hAnsi="方正小标宋简体" w:eastAsia="方正小标宋简体" w:cs="方正小标宋简体"/>
          <w:color w:val="000000"/>
          <w:sz w:val="43"/>
          <w:szCs w:val="43"/>
          <w:lang w:eastAsia="zh-CN"/>
        </w:rPr>
        <w:t>自治区</w:t>
      </w:r>
      <w:r>
        <w:rPr>
          <w:rFonts w:hint="eastAsia" w:ascii="方正小标宋简体" w:hAnsi="方正小标宋简体" w:eastAsia="方正小标宋简体" w:cs="方正小标宋简体"/>
          <w:color w:val="000000"/>
          <w:sz w:val="43"/>
          <w:szCs w:val="43"/>
        </w:rPr>
        <w:t>违规取水用水排水治理行动</w:t>
      </w:r>
      <w:r>
        <w:rPr>
          <w:rFonts w:hint="eastAsia" w:ascii="方正小标宋简体" w:hAnsi="方正小标宋简体" w:eastAsia="方正小标宋简体" w:cs="方正小标宋简体"/>
          <w:color w:val="000000"/>
          <w:sz w:val="43"/>
          <w:szCs w:val="43"/>
          <w:lang w:eastAsia="zh-CN"/>
        </w:rPr>
        <w:t>细化方案</w:t>
      </w:r>
    </w:p>
    <w:bookmarkEnd w:id="0"/>
    <w:p w14:paraId="6BE9581E">
      <w:pPr>
        <w:pStyle w:val="4"/>
        <w:keepNext w:val="0"/>
        <w:keepLines w:val="0"/>
        <w:pageBreakBefore w:val="0"/>
        <w:widowControl/>
        <w:suppressLineNumbers w:val="0"/>
        <w:kinsoku/>
        <w:wordWrap/>
        <w:overflowPunct/>
        <w:topLinePunct w:val="0"/>
        <w:autoSpaceDE/>
        <w:autoSpaceDN/>
        <w:bidi w:val="0"/>
        <w:adjustRightInd/>
        <w:snapToGrid/>
        <w:spacing w:before="318" w:beforeLines="100" w:line="560" w:lineRule="exact"/>
        <w:ind w:firstLine="640" w:firstLineChars="200"/>
        <w:jc w:val="both"/>
        <w:textAlignment w:val="auto"/>
        <w:rPr>
          <w:rFonts w:hint="eastAsia" w:ascii="黑体" w:hAnsi="黑体" w:eastAsia="黑体" w:cs="黑体"/>
          <w:color w:val="000000"/>
          <w:sz w:val="32"/>
          <w:szCs w:val="32"/>
          <w:lang w:eastAsia="zh-CN"/>
        </w:rPr>
      </w:pPr>
      <w:r>
        <w:rPr>
          <w:rFonts w:hint="eastAsia" w:ascii="Times New Roman" w:hAnsi="Times New Roman" w:eastAsia="仿宋_GB2312" w:cs="Times New Roman"/>
          <w:spacing w:val="0"/>
          <w:kern w:val="2"/>
          <w:sz w:val="32"/>
          <w:szCs w:val="32"/>
          <w:highlight w:val="none"/>
          <w:lang w:val="en-US" w:eastAsia="zh-CN" w:bidi="ar"/>
        </w:rPr>
        <w:t>为贯彻落实《自治区党委办公厅 人民政府办公厅关于印发&lt;生态环境保护治理攻坚年行动实施方案&gt;的通知》（宁党厅字〔2026〕11号）要求，特制定本细化方案。</w:t>
      </w:r>
    </w:p>
    <w:p w14:paraId="1C2AB540">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黑体" w:hAnsi="黑体" w:eastAsia="黑体" w:cs="黑体"/>
          <w:color w:val="000000"/>
          <w:sz w:val="32"/>
          <w:szCs w:val="32"/>
        </w:rPr>
        <w:t>一、任务目标</w:t>
      </w:r>
    </w:p>
    <w:p w14:paraId="013AEF5A">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rPr>
      </w:pPr>
      <w:r>
        <w:rPr>
          <w:rFonts w:hint="default" w:ascii="Times New Roman" w:hAnsi="Times New Roman" w:eastAsia="仿宋_GB2312" w:cs="Times New Roman"/>
          <w:spacing w:val="0"/>
          <w:kern w:val="2"/>
          <w:sz w:val="32"/>
          <w:szCs w:val="32"/>
          <w:highlight w:val="none"/>
          <w:lang w:val="en-US" w:eastAsia="zh-CN" w:bidi="ar"/>
        </w:rPr>
        <w:t>严格落实“四水四定”原则，违规取水用水排水问题得到有效整治</w:t>
      </w:r>
      <w:r>
        <w:rPr>
          <w:rFonts w:hint="eastAsia" w:ascii="Times New Roman" w:hAnsi="Times New Roman" w:eastAsia="仿宋_GB2312" w:cs="Times New Roman"/>
          <w:spacing w:val="0"/>
          <w:kern w:val="2"/>
          <w:sz w:val="32"/>
          <w:szCs w:val="32"/>
          <w:highlight w:val="none"/>
          <w:lang w:val="en-US" w:eastAsia="zh-CN" w:bidi="ar"/>
        </w:rPr>
        <w:t>。</w:t>
      </w:r>
      <w:r>
        <w:rPr>
          <w:rFonts w:hint="default" w:ascii="Times New Roman" w:hAnsi="Times New Roman" w:eastAsia="仿宋_GB2312" w:cs="Times New Roman"/>
          <w:spacing w:val="0"/>
          <w:kern w:val="2"/>
          <w:sz w:val="32"/>
          <w:szCs w:val="32"/>
          <w:highlight w:val="none"/>
          <w:lang w:val="en-US" w:eastAsia="zh-CN" w:bidi="ar"/>
        </w:rPr>
        <w:t>2026年，完成黄河干支流河道范围内违建和取水排水突出问题</w:t>
      </w:r>
      <w:r>
        <w:rPr>
          <w:rFonts w:hint="eastAsia" w:ascii="Times New Roman" w:hAnsi="Times New Roman" w:eastAsia="仿宋_GB2312" w:cs="Times New Roman"/>
          <w:spacing w:val="0"/>
          <w:kern w:val="2"/>
          <w:sz w:val="32"/>
          <w:szCs w:val="32"/>
          <w:highlight w:val="none"/>
          <w:lang w:val="en-US" w:eastAsia="zh-CN" w:bidi="ar"/>
        </w:rPr>
        <w:t>摸排，</w:t>
      </w:r>
      <w:r>
        <w:rPr>
          <w:rFonts w:hint="default" w:ascii="Times New Roman" w:hAnsi="Times New Roman" w:eastAsia="仿宋_GB2312" w:cs="Times New Roman"/>
          <w:spacing w:val="0"/>
          <w:kern w:val="2"/>
          <w:sz w:val="32"/>
          <w:szCs w:val="32"/>
          <w:highlight w:val="none"/>
          <w:lang w:val="en-US" w:eastAsia="zh-CN" w:bidi="ar"/>
        </w:rPr>
        <w:t>好Ⅲ水质、优良水体比例均达到</w:t>
      </w:r>
      <w:r>
        <w:rPr>
          <w:rFonts w:hint="eastAsia" w:ascii="Times New Roman" w:hAnsi="Times New Roman" w:eastAsia="仿宋_GB2312" w:cs="Times New Roman"/>
          <w:spacing w:val="0"/>
          <w:kern w:val="2"/>
          <w:sz w:val="32"/>
          <w:szCs w:val="32"/>
          <w:highlight w:val="none"/>
          <w:lang w:val="en-US" w:eastAsia="zh-CN" w:bidi="ar"/>
        </w:rPr>
        <w:t>73.7</w:t>
      </w:r>
      <w:r>
        <w:rPr>
          <w:rFonts w:hint="default" w:ascii="Times New Roman" w:hAnsi="Times New Roman" w:eastAsia="仿宋_GB2312" w:cs="Times New Roman"/>
          <w:spacing w:val="0"/>
          <w:kern w:val="2"/>
          <w:sz w:val="32"/>
          <w:szCs w:val="32"/>
          <w:highlight w:val="none"/>
          <w:lang w:val="en-US" w:eastAsia="zh-CN" w:bidi="ar"/>
        </w:rPr>
        <w:t>%</w:t>
      </w:r>
      <w:r>
        <w:rPr>
          <w:rFonts w:hint="eastAsia" w:ascii="Times New Roman" w:hAnsi="Times New Roman" w:eastAsia="仿宋_GB2312" w:cs="Times New Roman"/>
          <w:spacing w:val="0"/>
          <w:kern w:val="2"/>
          <w:sz w:val="32"/>
          <w:szCs w:val="32"/>
          <w:highlight w:val="none"/>
          <w:lang w:val="en-US" w:eastAsia="zh-CN" w:bidi="ar"/>
        </w:rPr>
        <w:t>，主要水污染物减排量</w:t>
      </w:r>
      <w:r>
        <w:rPr>
          <w:rFonts w:hint="default" w:ascii="Times New Roman" w:hAnsi="Times New Roman" w:eastAsia="仿宋_GB2312" w:cs="Times New Roman"/>
          <w:spacing w:val="0"/>
          <w:kern w:val="2"/>
          <w:sz w:val="32"/>
          <w:szCs w:val="32"/>
          <w:highlight w:val="none"/>
          <w:lang w:val="en-US" w:eastAsia="zh-CN" w:bidi="ar"/>
        </w:rPr>
        <w:t>达到158</w:t>
      </w:r>
      <w:r>
        <w:rPr>
          <w:rFonts w:hint="eastAsia" w:ascii="Times New Roman" w:hAnsi="Times New Roman" w:eastAsia="仿宋_GB2312" w:cs="Times New Roman"/>
          <w:spacing w:val="0"/>
          <w:kern w:val="2"/>
          <w:sz w:val="32"/>
          <w:szCs w:val="32"/>
          <w:highlight w:val="none"/>
          <w:lang w:val="en-US" w:eastAsia="zh-CN" w:bidi="ar"/>
        </w:rPr>
        <w:t>0</w:t>
      </w:r>
      <w:r>
        <w:rPr>
          <w:rFonts w:hint="default" w:ascii="Times New Roman" w:hAnsi="Times New Roman" w:eastAsia="仿宋_GB2312" w:cs="Times New Roman"/>
          <w:spacing w:val="0"/>
          <w:kern w:val="2"/>
          <w:sz w:val="32"/>
          <w:szCs w:val="32"/>
          <w:highlight w:val="none"/>
          <w:lang w:val="en-US" w:eastAsia="zh-CN" w:bidi="ar"/>
        </w:rPr>
        <w:t>吨、16吨</w:t>
      </w:r>
      <w:r>
        <w:rPr>
          <w:rFonts w:hint="eastAsia" w:ascii="Times New Roman" w:hAnsi="Times New Roman" w:eastAsia="仿宋_GB2312" w:cs="Times New Roman"/>
          <w:spacing w:val="0"/>
          <w:kern w:val="2"/>
          <w:sz w:val="32"/>
          <w:szCs w:val="32"/>
          <w:highlight w:val="none"/>
          <w:lang w:val="en-US" w:eastAsia="zh-CN" w:bidi="ar"/>
        </w:rPr>
        <w:t>以上；</w:t>
      </w:r>
      <w:r>
        <w:rPr>
          <w:rFonts w:hint="default" w:ascii="Times New Roman" w:hAnsi="Times New Roman" w:eastAsia="仿宋_GB2312" w:cs="Times New Roman"/>
          <w:spacing w:val="0"/>
          <w:kern w:val="2"/>
          <w:sz w:val="32"/>
          <w:szCs w:val="32"/>
          <w:highlight w:val="none"/>
          <w:lang w:val="en-US" w:eastAsia="zh-CN" w:bidi="ar"/>
        </w:rPr>
        <w:t>2027年，完成</w:t>
      </w:r>
      <w:r>
        <w:rPr>
          <w:rFonts w:hint="eastAsia" w:ascii="Times New Roman" w:hAnsi="Times New Roman" w:eastAsia="仿宋_GB2312" w:cs="Times New Roman"/>
          <w:spacing w:val="0"/>
          <w:kern w:val="2"/>
          <w:sz w:val="32"/>
          <w:szCs w:val="32"/>
          <w:highlight w:val="none"/>
          <w:lang w:val="en-US" w:eastAsia="zh-CN" w:bidi="ar"/>
        </w:rPr>
        <w:t>排查发现</w:t>
      </w:r>
      <w:r>
        <w:rPr>
          <w:rFonts w:hint="default" w:ascii="Times New Roman" w:hAnsi="Times New Roman" w:eastAsia="仿宋_GB2312" w:cs="Times New Roman"/>
          <w:spacing w:val="0"/>
          <w:kern w:val="2"/>
          <w:sz w:val="32"/>
          <w:szCs w:val="32"/>
          <w:highlight w:val="none"/>
          <w:lang w:val="en-US" w:eastAsia="zh-CN" w:bidi="ar"/>
        </w:rPr>
        <w:t>问题整治</w:t>
      </w:r>
      <w:r>
        <w:rPr>
          <w:rFonts w:hint="eastAsia" w:ascii="Times New Roman" w:hAnsi="Times New Roman" w:eastAsia="仿宋_GB2312" w:cs="Times New Roman"/>
          <w:spacing w:val="0"/>
          <w:kern w:val="2"/>
          <w:sz w:val="32"/>
          <w:szCs w:val="32"/>
          <w:highlight w:val="none"/>
          <w:lang w:val="en-US" w:eastAsia="zh-CN" w:bidi="ar"/>
        </w:rPr>
        <w:t>，</w:t>
      </w:r>
      <w:r>
        <w:rPr>
          <w:rFonts w:hint="default" w:ascii="Times New Roman" w:hAnsi="Times New Roman" w:eastAsia="仿宋_GB2312" w:cs="Times New Roman"/>
          <w:spacing w:val="0"/>
          <w:kern w:val="2"/>
          <w:sz w:val="32"/>
          <w:szCs w:val="32"/>
          <w:highlight w:val="none"/>
          <w:lang w:val="en-US" w:eastAsia="zh-CN" w:bidi="ar"/>
        </w:rPr>
        <w:t>好Ⅲ水质、优良水体均达到</w:t>
      </w:r>
      <w:r>
        <w:rPr>
          <w:rFonts w:hint="eastAsia" w:ascii="Times New Roman" w:hAnsi="Times New Roman" w:eastAsia="仿宋_GB2312" w:cs="Times New Roman"/>
          <w:spacing w:val="0"/>
          <w:kern w:val="2"/>
          <w:sz w:val="32"/>
          <w:szCs w:val="32"/>
          <w:highlight w:val="none"/>
          <w:lang w:val="en-US" w:eastAsia="zh-CN" w:bidi="ar"/>
        </w:rPr>
        <w:t>78.9</w:t>
      </w:r>
      <w:r>
        <w:rPr>
          <w:rFonts w:hint="default" w:ascii="Times New Roman" w:hAnsi="Times New Roman" w:eastAsia="仿宋_GB2312" w:cs="Times New Roman"/>
          <w:spacing w:val="0"/>
          <w:kern w:val="2"/>
          <w:sz w:val="32"/>
          <w:szCs w:val="32"/>
          <w:highlight w:val="none"/>
          <w:lang w:val="en-US" w:eastAsia="zh-CN" w:bidi="ar"/>
        </w:rPr>
        <w:t>%</w:t>
      </w:r>
      <w:r>
        <w:rPr>
          <w:rFonts w:hint="eastAsia" w:ascii="Times New Roman" w:hAnsi="Times New Roman" w:eastAsia="仿宋_GB2312" w:cs="Times New Roman"/>
          <w:spacing w:val="0"/>
          <w:kern w:val="2"/>
          <w:sz w:val="32"/>
          <w:szCs w:val="32"/>
          <w:highlight w:val="none"/>
          <w:lang w:val="en-US" w:eastAsia="zh-CN" w:bidi="ar"/>
        </w:rPr>
        <w:t>，主要水污染物累计减排量</w:t>
      </w:r>
      <w:r>
        <w:rPr>
          <w:rFonts w:hint="default" w:ascii="Times New Roman" w:hAnsi="Times New Roman" w:eastAsia="仿宋_GB2312" w:cs="Times New Roman"/>
          <w:spacing w:val="0"/>
          <w:kern w:val="2"/>
          <w:sz w:val="32"/>
          <w:szCs w:val="32"/>
          <w:highlight w:val="none"/>
          <w:lang w:val="en-US" w:eastAsia="zh-CN" w:bidi="ar"/>
        </w:rPr>
        <w:t>达到</w:t>
      </w:r>
      <w:r>
        <w:rPr>
          <w:rFonts w:hint="eastAsia" w:ascii="Times New Roman" w:hAnsi="Times New Roman" w:eastAsia="仿宋_GB2312" w:cs="Times New Roman"/>
          <w:spacing w:val="0"/>
          <w:kern w:val="2"/>
          <w:sz w:val="32"/>
          <w:szCs w:val="32"/>
          <w:highlight w:val="none"/>
          <w:lang w:val="en-US" w:eastAsia="zh-CN" w:bidi="ar"/>
        </w:rPr>
        <w:t>4215</w:t>
      </w:r>
      <w:r>
        <w:rPr>
          <w:rFonts w:hint="default" w:ascii="Times New Roman" w:hAnsi="Times New Roman" w:eastAsia="仿宋_GB2312" w:cs="Times New Roman"/>
          <w:spacing w:val="0"/>
          <w:kern w:val="2"/>
          <w:sz w:val="32"/>
          <w:szCs w:val="32"/>
          <w:highlight w:val="none"/>
          <w:lang w:val="en-US" w:eastAsia="zh-CN" w:bidi="ar"/>
        </w:rPr>
        <w:t>吨、</w:t>
      </w:r>
      <w:r>
        <w:rPr>
          <w:rFonts w:hint="eastAsia" w:ascii="Times New Roman" w:hAnsi="Times New Roman" w:eastAsia="仿宋_GB2312" w:cs="Times New Roman"/>
          <w:spacing w:val="0"/>
          <w:kern w:val="2"/>
          <w:sz w:val="32"/>
          <w:szCs w:val="32"/>
          <w:highlight w:val="none"/>
          <w:lang w:val="en-US" w:eastAsia="zh-CN" w:bidi="ar"/>
        </w:rPr>
        <w:t>44</w:t>
      </w:r>
      <w:r>
        <w:rPr>
          <w:rFonts w:hint="default" w:ascii="Times New Roman" w:hAnsi="Times New Roman" w:eastAsia="仿宋_GB2312" w:cs="Times New Roman"/>
          <w:spacing w:val="0"/>
          <w:kern w:val="2"/>
          <w:sz w:val="32"/>
          <w:szCs w:val="32"/>
          <w:highlight w:val="none"/>
          <w:lang w:val="en-US" w:eastAsia="zh-CN" w:bidi="ar"/>
        </w:rPr>
        <w:t>吨</w:t>
      </w:r>
      <w:r>
        <w:rPr>
          <w:rFonts w:hint="eastAsia" w:ascii="Times New Roman" w:hAnsi="Times New Roman" w:eastAsia="仿宋_GB2312" w:cs="Times New Roman"/>
          <w:spacing w:val="0"/>
          <w:kern w:val="2"/>
          <w:sz w:val="32"/>
          <w:szCs w:val="32"/>
          <w:highlight w:val="none"/>
          <w:lang w:val="en-US" w:eastAsia="zh-CN" w:bidi="ar"/>
        </w:rPr>
        <w:t>左右。</w:t>
      </w:r>
    </w:p>
    <w:p w14:paraId="1618EF10">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eastAsia="zh-CN"/>
        </w:rPr>
        <w:t>重点措施</w:t>
      </w:r>
    </w:p>
    <w:p w14:paraId="57DE3E6D">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textAlignment w:val="auto"/>
        <w:rPr>
          <w:rFonts w:hint="eastAsia" w:ascii="Times New Roman" w:hAnsi="Times New Roman" w:eastAsia="楷体_GB2312" w:cs="楷体_GB2312"/>
          <w:b w:val="0"/>
          <w:bCs/>
          <w:color w:val="000000"/>
          <w:spacing w:val="0"/>
          <w:kern w:val="2"/>
          <w:sz w:val="32"/>
          <w:szCs w:val="32"/>
          <w:highlight w:val="none"/>
          <w:lang w:val="en-US" w:eastAsia="zh-CN" w:bidi="ar"/>
        </w:rPr>
      </w:pPr>
      <w:r>
        <w:rPr>
          <w:rFonts w:hint="eastAsia" w:ascii="Times New Roman" w:hAnsi="Times New Roman" w:eastAsia="楷体_GB2312" w:cs="楷体_GB2312"/>
          <w:b w:val="0"/>
          <w:bCs/>
          <w:color w:val="000000"/>
          <w:spacing w:val="0"/>
          <w:kern w:val="2"/>
          <w:sz w:val="32"/>
          <w:szCs w:val="32"/>
          <w:highlight w:val="none"/>
          <w:lang w:val="en-US" w:eastAsia="zh-CN" w:bidi="ar"/>
        </w:rPr>
        <w:t>（一）加强取水许可管理。</w:t>
      </w:r>
    </w:p>
    <w:p w14:paraId="3EE6D18A">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val="0"/>
          <w:bCs/>
          <w:spacing w:val="0"/>
          <w:kern w:val="2"/>
          <w:sz w:val="32"/>
          <w:szCs w:val="32"/>
          <w:highlight w:val="none"/>
        </w:rPr>
      </w:pPr>
      <w:r>
        <w:rPr>
          <w:rFonts w:hint="eastAsia" w:ascii="Times New Roman" w:hAnsi="Times New Roman" w:eastAsia="仿宋_GB2312" w:cs="仿宋_GB2312"/>
          <w:b/>
          <w:bCs w:val="0"/>
          <w:color w:val="000000"/>
          <w:spacing w:val="0"/>
          <w:kern w:val="2"/>
          <w:sz w:val="32"/>
          <w:szCs w:val="32"/>
          <w:highlight w:val="none"/>
          <w:lang w:val="en-US" w:eastAsia="zh-CN" w:bidi="ar"/>
        </w:rPr>
        <w:t>1.健全完善取用水管理机制。</w:t>
      </w:r>
      <w:r>
        <w:rPr>
          <w:rFonts w:hint="eastAsia" w:ascii="Times New Roman" w:hAnsi="Times New Roman" w:eastAsia="仿宋_GB2312" w:cs="仿宋_GB2312"/>
          <w:b w:val="0"/>
          <w:bCs/>
          <w:color w:val="000000"/>
          <w:spacing w:val="0"/>
          <w:kern w:val="2"/>
          <w:sz w:val="32"/>
          <w:szCs w:val="32"/>
          <w:highlight w:val="none"/>
          <w:lang w:val="en-US" w:eastAsia="zh-CN" w:bidi="ar"/>
        </w:rPr>
        <w:t>制定印发进一步加强取用水管理工作方案，2026年10月底前，组织各地排查供水企业无证供水、超用途及超范围供水等违法违规行为，建立问题清单台账，跟踪管理。</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（责任单位：自治区水利厅，各市、县</w:t>
      </w:r>
      <w:r>
        <w:rPr>
          <w:rFonts w:hint="eastAsia" w:ascii="仿宋_GB2312" w:hAnsi="仿宋_GB2312" w:eastAsia="仿宋_GB2312" w:cs="仿宋_GB2312"/>
          <w:b w:val="0"/>
          <w:bCs/>
          <w:color w:val="000000"/>
          <w:spacing w:val="0"/>
          <w:kern w:val="2"/>
          <w:sz w:val="32"/>
          <w:szCs w:val="32"/>
          <w:highlight w:val="none"/>
          <w:lang w:val="en-US" w:eastAsia="zh-CN" w:bidi="ar"/>
        </w:rPr>
        <w:t>〔</w:t>
      </w:r>
      <w:r>
        <w:rPr>
          <w:rFonts w:hint="eastAsia" w:ascii="楷体_GB2312" w:hAnsi="楷体_GB2312" w:eastAsia="楷体_GB2312" w:cs="楷体_GB2312"/>
          <w:b w:val="0"/>
          <w:bCs/>
          <w:color w:val="000000"/>
          <w:spacing w:val="0"/>
          <w:kern w:val="2"/>
          <w:sz w:val="32"/>
          <w:szCs w:val="32"/>
          <w:highlight w:val="none"/>
          <w:lang w:val="en-US" w:eastAsia="zh-CN" w:bidi="ar"/>
        </w:rPr>
        <w:t>区</w:t>
      </w:r>
      <w:r>
        <w:rPr>
          <w:rFonts w:hint="eastAsia" w:ascii="仿宋_GB2312" w:hAnsi="仿宋_GB2312" w:eastAsia="仿宋_GB2312" w:cs="仿宋_GB2312"/>
          <w:b w:val="0"/>
          <w:bCs/>
          <w:color w:val="000000"/>
          <w:spacing w:val="0"/>
          <w:kern w:val="2"/>
          <w:sz w:val="32"/>
          <w:szCs w:val="32"/>
          <w:highlight w:val="none"/>
          <w:lang w:val="en-US" w:eastAsia="zh-CN" w:bidi="ar"/>
        </w:rPr>
        <w:t>〕</w:t>
      </w:r>
      <w:r>
        <w:rPr>
          <w:rFonts w:hint="eastAsia" w:ascii="楷体_GB2312" w:hAnsi="楷体_GB2312" w:eastAsia="楷体_GB2312" w:cs="楷体_GB2312"/>
          <w:b w:val="0"/>
          <w:bCs/>
          <w:color w:val="000000"/>
          <w:spacing w:val="0"/>
          <w:kern w:val="2"/>
          <w:sz w:val="32"/>
          <w:szCs w:val="32"/>
          <w:highlight w:val="none"/>
          <w:lang w:val="en-US" w:eastAsia="zh-CN" w:bidi="ar"/>
        </w:rPr>
        <w:t>人民政府，宁东管委会。以下任务均需各市、县</w:t>
      </w:r>
      <w:r>
        <w:rPr>
          <w:rFonts w:hint="eastAsia" w:ascii="仿宋_GB2312" w:hAnsi="仿宋_GB2312" w:eastAsia="仿宋_GB2312" w:cs="仿宋_GB2312"/>
          <w:b w:val="0"/>
          <w:bCs/>
          <w:color w:val="000000"/>
          <w:spacing w:val="0"/>
          <w:kern w:val="2"/>
          <w:sz w:val="32"/>
          <w:szCs w:val="32"/>
          <w:highlight w:val="none"/>
          <w:lang w:val="en-US" w:eastAsia="zh-CN" w:bidi="ar"/>
        </w:rPr>
        <w:t>〔</w:t>
      </w:r>
      <w:r>
        <w:rPr>
          <w:rFonts w:hint="eastAsia" w:ascii="楷体_GB2312" w:hAnsi="楷体_GB2312" w:eastAsia="楷体_GB2312" w:cs="楷体_GB2312"/>
          <w:b w:val="0"/>
          <w:bCs/>
          <w:color w:val="000000"/>
          <w:spacing w:val="0"/>
          <w:kern w:val="2"/>
          <w:sz w:val="32"/>
          <w:szCs w:val="32"/>
          <w:highlight w:val="none"/>
          <w:lang w:val="en-US" w:eastAsia="zh-CN" w:bidi="ar"/>
        </w:rPr>
        <w:t>区</w:t>
      </w:r>
      <w:r>
        <w:rPr>
          <w:rFonts w:hint="eastAsia" w:ascii="仿宋_GB2312" w:hAnsi="仿宋_GB2312" w:eastAsia="仿宋_GB2312" w:cs="仿宋_GB2312"/>
          <w:b w:val="0"/>
          <w:bCs/>
          <w:color w:val="000000"/>
          <w:spacing w:val="0"/>
          <w:kern w:val="2"/>
          <w:sz w:val="32"/>
          <w:szCs w:val="32"/>
          <w:highlight w:val="none"/>
          <w:lang w:val="en-US" w:eastAsia="zh-CN" w:bidi="ar"/>
        </w:rPr>
        <w:t>〕</w:t>
      </w:r>
      <w:r>
        <w:rPr>
          <w:rFonts w:hint="eastAsia" w:ascii="楷体_GB2312" w:hAnsi="楷体_GB2312" w:eastAsia="楷体_GB2312" w:cs="楷体_GB2312"/>
          <w:b w:val="0"/>
          <w:bCs/>
          <w:color w:val="000000"/>
          <w:spacing w:val="0"/>
          <w:kern w:val="2"/>
          <w:sz w:val="32"/>
          <w:szCs w:val="32"/>
          <w:highlight w:val="none"/>
          <w:lang w:val="en-US" w:eastAsia="zh-CN" w:bidi="ar"/>
        </w:rPr>
        <w:t>人民政府及宁东管委会落实，不再单独列出）</w:t>
      </w:r>
    </w:p>
    <w:p w14:paraId="36BC3A19">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3"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2.排查整治违法违规取用水问题。</w:t>
      </w:r>
      <w:r>
        <w:rPr>
          <w:rFonts w:hint="eastAsia" w:ascii="Times New Roman" w:hAnsi="Times New Roman" w:eastAsia="仿宋_GB2312" w:cs="仿宋_GB2312"/>
          <w:b w:val="0"/>
          <w:bCs/>
          <w:color w:val="000000"/>
          <w:spacing w:val="0"/>
          <w:kern w:val="2"/>
          <w:sz w:val="32"/>
          <w:szCs w:val="32"/>
          <w:highlight w:val="none"/>
          <w:lang w:val="en-US" w:eastAsia="zh-CN" w:bidi="ar"/>
        </w:rPr>
        <w:t>督促各地市水务局根据排查工作开展情况，认真复核违法违规问题，进行台账化管理、清单化推进、项目化实施，2026年12月底前依法依规完成整治。2027年组织相关部门，围绕排查问题整治工作，适时开展“回头看”，夯实整治工作成效。</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（责任单位：自治区水利厅）</w:t>
      </w:r>
    </w:p>
    <w:p w14:paraId="67399E90">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3" w:firstLineChars="200"/>
        <w:jc w:val="both"/>
        <w:textAlignment w:val="auto"/>
        <w:rPr>
          <w:rFonts w:hint="default"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3.排查整治黄河干支流管理范围内违建问题。</w:t>
      </w:r>
      <w:r>
        <w:rPr>
          <w:rFonts w:hint="eastAsia" w:ascii="Times New Roman" w:hAnsi="Times New Roman" w:eastAsia="仿宋_GB2312" w:cs="仿宋_GB2312"/>
          <w:b w:val="0"/>
          <w:bCs/>
          <w:color w:val="000000"/>
          <w:spacing w:val="0"/>
          <w:kern w:val="2"/>
          <w:sz w:val="32"/>
          <w:szCs w:val="32"/>
          <w:highlight w:val="none"/>
          <w:lang w:val="en-US" w:eastAsia="zh-CN" w:bidi="ar"/>
        </w:rPr>
        <w:t>督促指导各地按时序推进中央生态环境保护督察反馈的黄河干支流管理范围内违建问题整改工作，2027年12月底前完成整改任务。完善河湖管理保护暗访监督机制，严格涉河建设项目审批，强化河道岸线空间管控。</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（责任单位：自治区水利厅）</w:t>
      </w:r>
    </w:p>
    <w:p w14:paraId="18584232">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textAlignment w:val="auto"/>
        <w:rPr>
          <w:rFonts w:hint="eastAsia" w:ascii="Times New Roman" w:hAnsi="Times New Roman" w:eastAsia="楷体_GB2312" w:cs="楷体_GB2312"/>
          <w:b w:val="0"/>
          <w:bCs/>
          <w:color w:val="000000"/>
          <w:spacing w:val="0"/>
          <w:kern w:val="2"/>
          <w:sz w:val="32"/>
          <w:szCs w:val="32"/>
          <w:highlight w:val="none"/>
          <w:lang w:val="en-US" w:eastAsia="zh-CN" w:bidi="ar"/>
        </w:rPr>
      </w:pPr>
      <w:r>
        <w:rPr>
          <w:rFonts w:hint="eastAsia" w:ascii="Times New Roman" w:hAnsi="Times New Roman" w:eastAsia="楷体_GB2312" w:cs="楷体_GB2312"/>
          <w:b w:val="0"/>
          <w:bCs/>
          <w:color w:val="000000"/>
          <w:spacing w:val="0"/>
          <w:kern w:val="2"/>
          <w:sz w:val="32"/>
          <w:szCs w:val="32"/>
          <w:highlight w:val="none"/>
          <w:lang w:val="en-US" w:eastAsia="zh-CN" w:bidi="ar"/>
        </w:rPr>
        <w:t>（二）深化涉水环境问题整治。</w:t>
      </w:r>
    </w:p>
    <w:p w14:paraId="4B342C90">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3"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4.开展人工湿地问题排查整治。</w:t>
      </w:r>
      <w:r>
        <w:rPr>
          <w:rFonts w:hint="eastAsia" w:ascii="Times New Roman" w:hAnsi="Times New Roman" w:eastAsia="仿宋_GB2312" w:cs="仿宋_GB2312"/>
          <w:b w:val="0"/>
          <w:bCs/>
          <w:color w:val="000000"/>
          <w:spacing w:val="0"/>
          <w:kern w:val="2"/>
          <w:sz w:val="32"/>
          <w:szCs w:val="32"/>
          <w:highlight w:val="none"/>
          <w:lang w:val="en-US" w:eastAsia="zh-CN" w:bidi="ar"/>
        </w:rPr>
        <w:t>组织开展全区已建人工湿地自查并形成自查问题清单，对人工湿地运行效能、运维管理、再生水利用等情况进行全面评估，形成全区人工湿地运行管理状况评估报告，制定宁夏人工湿地运行维护技术指南，推动指导人工湿地规范管理，确保出水水质达标。</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（责任单位：自治区生态环境厅）</w:t>
      </w:r>
    </w:p>
    <w:p w14:paraId="730BBE92">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3"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5.开展涉水工业园区问题排查整治。</w:t>
      </w:r>
      <w:r>
        <w:rPr>
          <w:rFonts w:hint="eastAsia" w:ascii="Times New Roman" w:hAnsi="Times New Roman" w:eastAsia="仿宋_GB2312" w:cs="仿宋_GB2312"/>
          <w:b w:val="0"/>
          <w:bCs/>
          <w:color w:val="000000"/>
          <w:spacing w:val="0"/>
          <w:kern w:val="2"/>
          <w:sz w:val="32"/>
          <w:szCs w:val="32"/>
          <w:highlight w:val="none"/>
          <w:lang w:val="en-US" w:eastAsia="zh-CN" w:bidi="ar"/>
        </w:rPr>
        <w:t>聚焦工业园区污水收集、污水集中处理设施建设运行、化工园区初期雨水收集处理、园区环境管理等方面的问题，对全区23个工业园区开展排查整治，建立问题清单，推动各地完善工业园区污水集中处理配套设施，强化工业园区水污染风险防范，提升污水收集处理效能。</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（责任单位：自治区生态环境厅、工业和信息化厅）</w:t>
      </w:r>
    </w:p>
    <w:p w14:paraId="67CB9874">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val="0"/>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6.地下水环境质量达到国家要求。</w:t>
      </w:r>
      <w:r>
        <w:rPr>
          <w:rFonts w:hint="eastAsia" w:ascii="Times New Roman" w:hAnsi="Times New Roman" w:eastAsia="仿宋_GB2312" w:cs="仿宋_GB2312"/>
          <w:b w:val="0"/>
          <w:bCs/>
          <w:color w:val="000000"/>
          <w:spacing w:val="0"/>
          <w:kern w:val="2"/>
          <w:sz w:val="32"/>
          <w:szCs w:val="32"/>
          <w:highlight w:val="none"/>
          <w:lang w:val="en-US" w:eastAsia="zh-CN" w:bidi="ar"/>
        </w:rPr>
        <w:t>强化地下水环境质量目标管理、风险评估、措施管控，切实抓好地下水环境质量考核任务，推进全区“十五五”国家地下水环境质量考核点位监督管理，完成2026年国家地下水环境质量考核任务。</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（责任单位：自治区生态环境厅）</w:t>
      </w:r>
    </w:p>
    <w:p w14:paraId="24CB27ED">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7.巩固重点入黄排水沟治理成效。</w:t>
      </w:r>
      <w:r>
        <w:rPr>
          <w:rFonts w:hint="eastAsia" w:ascii="Times New Roman" w:hAnsi="Times New Roman" w:eastAsia="仿宋_GB2312" w:cs="仿宋_GB2312"/>
          <w:b w:val="0"/>
          <w:bCs/>
          <w:color w:val="000000"/>
          <w:spacing w:val="0"/>
          <w:kern w:val="2"/>
          <w:sz w:val="32"/>
          <w:szCs w:val="32"/>
          <w:highlight w:val="none"/>
          <w:lang w:val="en-US" w:eastAsia="zh-CN" w:bidi="ar"/>
        </w:rPr>
        <w:t>持续开展22条重点入黄排水沟整治，强化入黄排水沟污染源管控，优化重点排水沟断面设置，加强水质预警监测，不断巩固排水沟水质。</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（责任单位：自治区生态环境厅、水利厅）</w:t>
      </w:r>
    </w:p>
    <w:p w14:paraId="0295DA19">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仿宋_GB2312"/>
          <w:b/>
          <w:bCs w:val="0"/>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8.提高城市生活污水收集率。</w:t>
      </w:r>
      <w:r>
        <w:rPr>
          <w:rFonts w:hint="eastAsia" w:ascii="Times New Roman" w:hAnsi="Times New Roman" w:eastAsia="仿宋_GB2312" w:cs="仿宋_GB2312"/>
          <w:b w:val="0"/>
          <w:bCs/>
          <w:color w:val="000000"/>
          <w:spacing w:val="0"/>
          <w:kern w:val="2"/>
          <w:sz w:val="32"/>
          <w:szCs w:val="32"/>
          <w:highlight w:val="none"/>
          <w:lang w:val="en-US" w:eastAsia="zh-CN" w:bidi="ar"/>
        </w:rPr>
        <w:t>印发实施全区城市生活污水处理设施运营管理办法，指导各地进一步加强城市生活污水处理设施运行监管。指导各地开展老旧管网更新改造，加快补齐城市生活污水收集处理设施短板。力争2027年城市生活污水收集率达到79%以上或较2025年提高2个百分点。</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（责任单位：自治区住房城乡建设厅）</w:t>
      </w:r>
    </w:p>
    <w:p w14:paraId="3C52354A">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textAlignment w:val="auto"/>
        <w:rPr>
          <w:rFonts w:hint="eastAsia" w:ascii="Times New Roman" w:hAnsi="Times New Roman" w:eastAsia="楷体_GB2312" w:cs="楷体_GB2312"/>
          <w:b w:val="0"/>
          <w:bCs/>
          <w:color w:val="000000"/>
          <w:spacing w:val="0"/>
          <w:kern w:val="2"/>
          <w:sz w:val="32"/>
          <w:szCs w:val="32"/>
          <w:highlight w:val="none"/>
          <w:lang w:val="en-US" w:eastAsia="zh-CN" w:bidi="ar"/>
        </w:rPr>
      </w:pPr>
      <w:r>
        <w:rPr>
          <w:rFonts w:hint="eastAsia" w:ascii="Times New Roman" w:hAnsi="Times New Roman" w:eastAsia="楷体_GB2312" w:cs="楷体_GB2312"/>
          <w:b w:val="0"/>
          <w:bCs/>
          <w:color w:val="000000"/>
          <w:spacing w:val="0"/>
          <w:kern w:val="2"/>
          <w:sz w:val="32"/>
          <w:szCs w:val="32"/>
          <w:highlight w:val="none"/>
          <w:lang w:val="en-US" w:eastAsia="zh-CN" w:bidi="ar"/>
        </w:rPr>
        <w:t>（三）提升入河排污口整治成效。</w:t>
      </w:r>
    </w:p>
    <w:p w14:paraId="0D208D11">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9.规范入河排污口设置审批。</w:t>
      </w:r>
      <w:r>
        <w:rPr>
          <w:rFonts w:hint="eastAsia" w:ascii="Times New Roman" w:hAnsi="Times New Roman" w:eastAsia="仿宋_GB2312" w:cs="仿宋_GB2312"/>
          <w:b w:val="0"/>
          <w:bCs/>
          <w:color w:val="000000"/>
          <w:spacing w:val="0"/>
          <w:kern w:val="2"/>
          <w:sz w:val="32"/>
          <w:szCs w:val="32"/>
          <w:highlight w:val="none"/>
          <w:lang w:val="en-US" w:eastAsia="zh-CN" w:bidi="ar"/>
        </w:rPr>
        <w:t>加快入河排污口分级分类监测监管体系建设，依据《入河排污口监督管理办法》《宁夏入河（湖、沟）排污口设置审批权限划分方案》，依法依规实行审批制，分级分类审批入河排污口，严控新增工业排污口，集中整治违法偷排口、汛期城镇雨洪排口、涉农排口等，动态更新管理台账。</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（责任单位：自治区生态环境厅）</w:t>
      </w:r>
    </w:p>
    <w:p w14:paraId="38CB81F3">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10.完成入河排污口排查整治。</w:t>
      </w:r>
      <w:r>
        <w:rPr>
          <w:rFonts w:hint="eastAsia" w:ascii="Times New Roman" w:hAnsi="Times New Roman" w:eastAsia="仿宋_GB2312" w:cs="仿宋_GB2312"/>
          <w:b w:val="0"/>
          <w:bCs/>
          <w:color w:val="000000"/>
          <w:spacing w:val="0"/>
          <w:kern w:val="2"/>
          <w:sz w:val="32"/>
          <w:szCs w:val="32"/>
          <w:highlight w:val="none"/>
          <w:lang w:val="en-US" w:eastAsia="zh-CN" w:bidi="ar"/>
        </w:rPr>
        <w:t>按照“依法取缔一批、清理合并一批、规范整治一批”原则和“查、测、溯、治”，深化全区各类排污口整治和规范化建设，实施分级分类监管监测。</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（责任单位：自治区生态环境厅）</w:t>
      </w:r>
    </w:p>
    <w:p w14:paraId="1BCF639F">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黑体" w:hAnsi="黑体" w:eastAsia="黑体" w:cs="黑体"/>
          <w:color w:val="000000"/>
          <w:sz w:val="32"/>
          <w:szCs w:val="32"/>
          <w:lang w:val="en-US" w:eastAsia="zh-CN"/>
        </w:rPr>
        <w:t>三、工作要求</w:t>
      </w:r>
    </w:p>
    <w:p w14:paraId="77FF1897">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Times New Roman" w:hAnsi="Times New Roman" w:eastAsia="仿宋_GB2312" w:cs="仿宋_GB2312"/>
          <w:b w:val="0"/>
          <w:bCs/>
          <w:color w:val="000000"/>
          <w:spacing w:val="0"/>
          <w:kern w:val="2"/>
          <w:sz w:val="32"/>
          <w:szCs w:val="32"/>
          <w:highlight w:val="none"/>
          <w:lang w:val="en-US" w:eastAsia="zh-CN" w:bidi="ar"/>
        </w:rPr>
        <w:t>各地及自治区各有关部门要切实采取有力举措，跟踪推进违规取水用水排水治理行动各项措施，确保高质量完成任务目标。工作推进过程中，若国家下达新的指标要求，自治区各有关部门要及时更新调整，并反馈水利厅汇总报送自治区党委生态文明建设领导小组。各地及自治区各有关部门要按照《自治区党委生态文明建设领导小组办公室关于统筹做好自治区生态环境保护治理攻坚年相关工作的函》（宁党生态办函〔2026〕6号）要求，及时梳理违规取水用水排水治理行动任务目标、重点措施推进情况，按要求向自治区党委生态文明建设领导小组办公室、自治区水利厅报送有关情况。</w:t>
      </w:r>
    </w:p>
    <w:p w14:paraId="655A73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4478C"/>
    <w:rsid w:val="17F4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2026-03-17T06:33:00Z</dcterms:created>
  <dc:creator>yxy</dc:creator>
  <cp:lastModifiedBy>yxy</cp:lastModifiedBy>
  <dcterms:modified xsi:type="dcterms:W3CDTF">2026-03-17T06:34:08Z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9E6A462B36A54EBEA19C432F6386293A_11</vt:lpwstr>
  </property>
</Properties>
</file>