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spacing w:before="0" w:after="0" w:line="560" w:lineRule="exact"/>
        <w:jc w:val="both"/>
        <w:rPr>
          <w:rFonts w:hint="default" w:ascii="黑体" w:hAnsi="黑体" w:eastAsia="黑体" w:cs="黑体"/>
          <w:b w:val="0"/>
          <w:bCs/>
          <w:sz w:val="32"/>
          <w:szCs w:val="32"/>
          <w:lang w:eastAsia="zh-CN"/>
        </w:rPr>
      </w:pPr>
      <w:bookmarkStart w:id="0" w:name="OLE_LINK4"/>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1</w:t>
      </w:r>
    </w:p>
    <w:p>
      <w:pPr>
        <w:pStyle w:val="4"/>
        <w:numPr>
          <w:ilvl w:val="0"/>
          <w:numId w:val="0"/>
        </w:numPr>
        <w:bidi w:val="0"/>
        <w:jc w:val="center"/>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自治区</w:t>
      </w:r>
      <w:r>
        <w:rPr>
          <w:rFonts w:hint="eastAsia" w:ascii="方正小标宋简体" w:hAnsi="方正小标宋简体" w:eastAsia="方正小标宋简体" w:cs="方正小标宋简体"/>
          <w:b w:val="0"/>
          <w:bCs/>
          <w:sz w:val="36"/>
          <w:szCs w:val="36"/>
        </w:rPr>
        <w:t>水利厅DeepSeek人工智能平台</w:t>
      </w:r>
      <w:r>
        <w:rPr>
          <w:rFonts w:hint="eastAsia" w:ascii="方正小标宋简体" w:hAnsi="方正小标宋简体" w:eastAsia="方正小标宋简体" w:cs="方正小标宋简体"/>
          <w:b w:val="0"/>
          <w:bCs/>
          <w:sz w:val="36"/>
          <w:szCs w:val="36"/>
          <w:lang w:eastAsia="zh-CN"/>
        </w:rPr>
        <w:t>接入指南</w:t>
      </w:r>
    </w:p>
    <w:bookmarkEnd w:id="0"/>
    <w:p>
      <w:pPr>
        <w:pStyle w:val="4"/>
        <w:numPr>
          <w:ilvl w:val="0"/>
          <w:numId w:val="0"/>
        </w:numPr>
        <w:bidi w:val="0"/>
        <w:spacing w:before="0" w:after="0" w:line="560" w:lineRule="exact"/>
        <w:ind w:firstLine="560" w:firstLineChars="200"/>
        <w:rPr>
          <w:rFonts w:hint="default"/>
          <w:b w:val="0"/>
          <w:bCs/>
          <w:sz w:val="28"/>
          <w:szCs w:val="28"/>
          <w:lang w:val="en-US" w:eastAsia="zh-CN"/>
        </w:rPr>
      </w:pPr>
      <w:r>
        <w:rPr>
          <w:rFonts w:hint="eastAsia"/>
          <w:b w:val="0"/>
          <w:bCs/>
          <w:sz w:val="28"/>
          <w:szCs w:val="28"/>
          <w:lang w:val="en-US" w:eastAsia="zh-CN"/>
        </w:rPr>
        <w:t>一、平台简介</w:t>
      </w:r>
    </w:p>
    <w:p>
      <w:pPr>
        <w:spacing w:beforeLines="0" w:afterLines="0" w:line="560" w:lineRule="exact"/>
        <w:ind w:firstLine="560" w:firstLineChars="200"/>
        <w:rPr>
          <w:rFonts w:hint="eastAsia" w:ascii="仿宋" w:hAnsi="仿宋" w:eastAsia="仿宋" w:cs="仿宋"/>
          <w:sz w:val="28"/>
          <w:szCs w:val="28"/>
          <w:lang w:val="en-US" w:eastAsia="zh-CN"/>
        </w:rPr>
      </w:pPr>
      <w:bookmarkStart w:id="1" w:name="OLE_LINK1"/>
      <w:r>
        <w:rPr>
          <w:rFonts w:hint="eastAsia" w:ascii="仿宋" w:hAnsi="仿宋" w:eastAsia="仿宋" w:cs="仿宋"/>
          <w:sz w:val="28"/>
          <w:szCs w:val="28"/>
          <w:lang w:val="en-US" w:eastAsia="zh-CN"/>
        </w:rPr>
        <w:t>宁夏水利厅</w:t>
      </w:r>
      <w:bookmarkStart w:id="2" w:name="OLE_LINK3"/>
      <w:r>
        <w:rPr>
          <w:rFonts w:hint="eastAsia" w:ascii="仿宋" w:hAnsi="仿宋" w:eastAsia="仿宋" w:cs="仿宋"/>
          <w:sz w:val="28"/>
          <w:szCs w:val="28"/>
          <w:lang w:val="en-US" w:eastAsia="zh-CN"/>
        </w:rPr>
        <w:t>DeepSeek</w:t>
      </w:r>
      <w:bookmarkEnd w:id="2"/>
      <w:r>
        <w:rPr>
          <w:rFonts w:hint="eastAsia" w:ascii="仿宋" w:hAnsi="仿宋" w:eastAsia="仿宋" w:cs="仿宋"/>
          <w:sz w:val="28"/>
          <w:szCs w:val="28"/>
          <w:lang w:val="en-US" w:eastAsia="zh-CN"/>
        </w:rPr>
        <w:t>人工智能平台</w:t>
      </w:r>
      <w:bookmarkEnd w:id="1"/>
      <w:r>
        <w:rPr>
          <w:rFonts w:hint="eastAsia" w:ascii="仿宋" w:hAnsi="仿宋" w:eastAsia="仿宋" w:cs="仿宋"/>
          <w:sz w:val="28"/>
          <w:szCs w:val="28"/>
          <w:lang w:val="en-US" w:eastAsia="zh-CN"/>
        </w:rPr>
        <w:t>是基于DeepSeek R1构建的人工智能通用能力底座，具备深度思考、联网查询、本地文件上传的基础能力。同时，已构建的宁夏水利知识库并打通了水利部上善知识库。平台具备DeepSeek定制开发能力，各单位可按需申请开展知识库构建、智能体编排、模型训练、智能问数等业务。</w:t>
      </w:r>
    </w:p>
    <w:p>
      <w:pPr>
        <w:spacing w:beforeLines="0" w:afterLines="0" w:line="560" w:lineRule="exact"/>
        <w:ind w:firstLine="420" w:firstLineChars="0"/>
        <w:rPr>
          <w:rFonts w:hint="default" w:ascii="仿宋" w:hAnsi="仿宋" w:eastAsia="仿宋" w:cs="仿宋"/>
          <w:sz w:val="28"/>
          <w:szCs w:val="28"/>
          <w:lang w:val="en-US" w:eastAsia="zh-CN"/>
        </w:rPr>
      </w:pPr>
    </w:p>
    <w:p>
      <w:pPr>
        <w:jc w:val="center"/>
        <w:rPr>
          <w:rFonts w:hint="default"/>
          <w:lang w:val="en-US" w:eastAsia="zh-CN"/>
        </w:rPr>
      </w:pPr>
      <w:r>
        <w:rPr>
          <w:rFonts w:hint="default"/>
          <w:lang w:val="en-US" w:eastAsia="zh-CN"/>
        </w:rPr>
        <w:drawing>
          <wp:inline distT="0" distB="0" distL="114300" distR="114300">
            <wp:extent cx="4839970" cy="3633470"/>
            <wp:effectExtent l="0" t="0" r="17780" b="5080"/>
            <wp:docPr id="2" name="图片 2" descr="水利网络拓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水利网络拓扑"/>
                    <pic:cNvPicPr>
                      <a:picLocks noChangeAspect="1"/>
                    </pic:cNvPicPr>
                  </pic:nvPicPr>
                  <pic:blipFill>
                    <a:blip r:embed="rId4"/>
                    <a:stretch>
                      <a:fillRect/>
                    </a:stretch>
                  </pic:blipFill>
                  <pic:spPr>
                    <a:xfrm>
                      <a:off x="0" y="0"/>
                      <a:ext cx="4839970" cy="3633470"/>
                    </a:xfrm>
                    <a:prstGeom prst="rect">
                      <a:avLst/>
                    </a:prstGeom>
                  </pic:spPr>
                </pic:pic>
              </a:graphicData>
            </a:graphic>
          </wp:inline>
        </w:drawing>
      </w:r>
    </w:p>
    <w:p>
      <w:pPr>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图1  平台网络拓扑图</w:t>
      </w:r>
    </w:p>
    <w:p>
      <w:pPr>
        <w:pStyle w:val="4"/>
        <w:numPr>
          <w:ilvl w:val="0"/>
          <w:numId w:val="0"/>
        </w:numPr>
        <w:bidi w:val="0"/>
        <w:spacing w:before="0" w:after="0" w:line="560" w:lineRule="exact"/>
        <w:ind w:firstLine="560" w:firstLineChars="200"/>
        <w:rPr>
          <w:rFonts w:hint="eastAsia"/>
          <w:b w:val="0"/>
          <w:bCs/>
          <w:sz w:val="28"/>
          <w:szCs w:val="28"/>
          <w:lang w:val="en-US" w:eastAsia="zh-CN"/>
        </w:rPr>
      </w:pPr>
      <w:r>
        <w:rPr>
          <w:rFonts w:hint="eastAsia"/>
          <w:b w:val="0"/>
          <w:bCs/>
          <w:sz w:val="28"/>
          <w:szCs w:val="28"/>
          <w:lang w:val="en-US" w:eastAsia="zh-CN"/>
        </w:rPr>
        <w:t>二、平台功能</w:t>
      </w:r>
    </w:p>
    <w:p>
      <w:pPr>
        <w:pStyle w:val="5"/>
        <w:bidi w:val="0"/>
        <w:spacing w:before="0" w:after="0" w:line="560" w:lineRule="exact"/>
        <w:ind w:firstLine="560" w:firstLineChars="200"/>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（一）通用功能</w:t>
      </w:r>
    </w:p>
    <w:p>
      <w:pPr>
        <w:spacing w:beforeLines="0" w:afterLines="0"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b w:val="0"/>
          <w:bCs w:val="0"/>
          <w:sz w:val="28"/>
          <w:szCs w:val="28"/>
          <w:lang w:val="en-US" w:eastAsia="zh-CN"/>
        </w:rPr>
        <w:t>1.深度思考：</w:t>
      </w:r>
      <w:r>
        <w:rPr>
          <w:rFonts w:hint="eastAsia" w:ascii="仿宋" w:hAnsi="仿宋" w:eastAsia="仿宋" w:cs="仿宋"/>
          <w:sz w:val="28"/>
          <w:szCs w:val="28"/>
          <w:lang w:val="en-US" w:eastAsia="zh-CN"/>
        </w:rPr>
        <w:t>模拟人类的深度思维过程，帮助用户更系统、严谨地分析问题。</w:t>
      </w:r>
    </w:p>
    <w:p>
      <w:pPr>
        <w:spacing w:beforeLines="0" w:afterLines="0" w:line="560" w:lineRule="exact"/>
        <w:ind w:firstLine="560" w:firstLineChars="200"/>
        <w:rPr>
          <w:rFonts w:hint="default" w:ascii="仿宋" w:hAnsi="仿宋" w:eastAsia="仿宋" w:cs="仿宋"/>
          <w:sz w:val="28"/>
          <w:szCs w:val="28"/>
          <w:lang w:val="en-US" w:eastAsia="zh-CN"/>
        </w:rPr>
      </w:pPr>
      <w:r>
        <w:rPr>
          <w:rFonts w:hint="eastAsia" w:ascii="仿宋" w:hAnsi="仿宋" w:eastAsia="仿宋" w:cs="仿宋"/>
          <w:b w:val="0"/>
          <w:bCs w:val="0"/>
          <w:sz w:val="28"/>
          <w:szCs w:val="28"/>
          <w:lang w:val="en-US" w:eastAsia="zh-CN"/>
        </w:rPr>
        <w:t>2.联网查询：</w:t>
      </w:r>
      <w:r>
        <w:rPr>
          <w:rFonts w:hint="eastAsia" w:ascii="仿宋" w:hAnsi="仿宋" w:eastAsia="仿宋" w:cs="仿宋"/>
          <w:sz w:val="28"/>
          <w:szCs w:val="28"/>
          <w:lang w:val="en-US" w:eastAsia="zh-CN"/>
        </w:rPr>
        <w:t>通过实时访问互联网信息，为用户提供准确、及时的数据支持。</w:t>
      </w:r>
    </w:p>
    <w:p>
      <w:pPr>
        <w:spacing w:beforeLines="0" w:afterLines="0" w:line="560" w:lineRule="exact"/>
        <w:ind w:firstLine="560" w:firstLineChars="200"/>
        <w:rPr>
          <w:rFonts w:hint="default" w:ascii="仿宋" w:hAnsi="仿宋" w:eastAsia="仿宋" w:cs="仿宋"/>
          <w:sz w:val="28"/>
          <w:szCs w:val="28"/>
          <w:lang w:val="en-US" w:eastAsia="zh-CN"/>
        </w:rPr>
      </w:pPr>
      <w:r>
        <w:rPr>
          <w:rFonts w:hint="eastAsia" w:ascii="仿宋" w:hAnsi="仿宋" w:eastAsia="仿宋" w:cs="仿宋"/>
          <w:b w:val="0"/>
          <w:bCs w:val="0"/>
          <w:sz w:val="28"/>
          <w:szCs w:val="28"/>
          <w:lang w:val="en-US" w:eastAsia="zh-CN"/>
        </w:rPr>
        <w:t>3.本地文件上传：</w:t>
      </w:r>
      <w:r>
        <w:rPr>
          <w:rFonts w:hint="eastAsia" w:ascii="仿宋" w:hAnsi="仿宋" w:eastAsia="仿宋" w:cs="仿宋"/>
          <w:sz w:val="28"/>
          <w:szCs w:val="28"/>
          <w:lang w:val="en-US" w:eastAsia="zh-CN"/>
        </w:rPr>
        <w:t>允许用户直接上传多种格式的本地文件进行分析处理，结合AI能力实现智能交互。</w:t>
      </w:r>
    </w:p>
    <w:p>
      <w:pPr>
        <w:spacing w:beforeLines="0" w:afterLines="0" w:line="560" w:lineRule="exact"/>
        <w:ind w:firstLine="560" w:firstLineChars="200"/>
        <w:rPr>
          <w:rFonts w:hint="default" w:ascii="仿宋" w:hAnsi="仿宋" w:eastAsia="仿宋" w:cs="仿宋"/>
          <w:sz w:val="28"/>
          <w:szCs w:val="28"/>
          <w:lang w:val="en-US" w:eastAsia="zh-CN"/>
        </w:rPr>
      </w:pPr>
      <w:r>
        <w:rPr>
          <w:rFonts w:hint="eastAsia" w:ascii="仿宋" w:hAnsi="仿宋" w:eastAsia="仿宋" w:cs="仿宋"/>
          <w:b w:val="0"/>
          <w:bCs w:val="0"/>
          <w:sz w:val="28"/>
          <w:szCs w:val="28"/>
          <w:lang w:val="en-US" w:eastAsia="zh-CN"/>
        </w:rPr>
        <w:t>4.水利部上善大模型知识库对接：</w:t>
      </w:r>
      <w:r>
        <w:rPr>
          <w:rFonts w:hint="eastAsia" w:ascii="仿宋" w:hAnsi="仿宋" w:eastAsia="仿宋" w:cs="仿宋"/>
          <w:sz w:val="28"/>
          <w:szCs w:val="28"/>
          <w:lang w:val="en-US" w:eastAsia="zh-CN"/>
        </w:rPr>
        <w:t>基于水利部上善知识库的权威数据赋能，实现水利领域知识融合的精准内容生成。</w:t>
      </w:r>
    </w:p>
    <w:p>
      <w:pPr>
        <w:spacing w:beforeLines="0" w:afterLines="0"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b w:val="0"/>
          <w:bCs w:val="0"/>
          <w:sz w:val="28"/>
          <w:szCs w:val="28"/>
          <w:lang w:val="en-US" w:eastAsia="zh-CN"/>
        </w:rPr>
        <w:t>5.宁夏水利知识库：</w:t>
      </w:r>
      <w:r>
        <w:rPr>
          <w:rFonts w:hint="eastAsia" w:ascii="仿宋" w:hAnsi="仿宋" w:eastAsia="仿宋" w:cs="仿宋"/>
          <w:sz w:val="28"/>
          <w:szCs w:val="28"/>
          <w:lang w:val="en-US" w:eastAsia="zh-CN"/>
        </w:rPr>
        <w:t>通过向量化引擎融合私有数据，支持动态更新，结合RAG技术实现精准领域推理，保障数据安全的同时提升企业知识管理效率。</w:t>
      </w:r>
    </w:p>
    <w:p>
      <w:pPr>
        <w:pStyle w:val="5"/>
        <w:bidi w:val="0"/>
        <w:spacing w:before="0" w:after="0" w:line="560" w:lineRule="exact"/>
        <w:ind w:firstLine="560" w:firstLineChars="200"/>
        <w:rPr>
          <w:rFonts w:hint="eastAsia" w:ascii="楷体" w:hAnsi="楷体" w:eastAsia="楷体" w:cs="楷体"/>
          <w:b w:val="0"/>
          <w:bCs/>
          <w:sz w:val="28"/>
          <w:szCs w:val="28"/>
          <w:lang w:val="en-US" w:eastAsia="zh-CN"/>
        </w:rPr>
      </w:pPr>
      <w:bookmarkStart w:id="3" w:name="OLE_LINK2"/>
      <w:r>
        <w:rPr>
          <w:rFonts w:hint="eastAsia" w:ascii="楷体" w:hAnsi="楷体" w:eastAsia="楷体" w:cs="楷体"/>
          <w:b w:val="0"/>
          <w:bCs/>
          <w:sz w:val="28"/>
          <w:szCs w:val="28"/>
          <w:lang w:val="en-US" w:eastAsia="zh-CN"/>
        </w:rPr>
        <w:t>（二）定制化功能</w:t>
      </w:r>
    </w:p>
    <w:p>
      <w:pPr>
        <w:pStyle w:val="5"/>
        <w:bidi w:val="0"/>
        <w:spacing w:before="0" w:after="0" w:line="560" w:lineRule="exact"/>
        <w:ind w:firstLine="560" w:firstLineChars="200"/>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1.知识库构建：</w:t>
      </w:r>
      <w:r>
        <w:rPr>
          <w:rFonts w:hint="eastAsia" w:ascii="仿宋_GB2312" w:hAnsi="仿宋_GB2312" w:eastAsia="仿宋_GB2312" w:cs="仿宋_GB2312"/>
          <w:b w:val="0"/>
          <w:bCs/>
          <w:sz w:val="28"/>
          <w:szCs w:val="28"/>
        </w:rPr>
        <w:t>通过多源异构数据融合（文档/数据库/API），结合知识图谱构建与动态更新技术，实现业务规则、流程、案例的结构化存储与语义关联，支持智能化检索、上下文推理及跨领域知识迁移，推动</w:t>
      </w:r>
      <w:r>
        <w:rPr>
          <w:rFonts w:hint="eastAsia" w:ascii="仿宋_GB2312" w:hAnsi="仿宋_GB2312" w:eastAsia="仿宋_GB2312" w:cs="仿宋_GB2312"/>
          <w:b w:val="0"/>
          <w:bCs/>
          <w:sz w:val="28"/>
          <w:szCs w:val="28"/>
          <w:lang w:eastAsia="zh-CN"/>
        </w:rPr>
        <w:t>水利专业</w:t>
      </w:r>
      <w:r>
        <w:rPr>
          <w:rFonts w:hint="eastAsia" w:ascii="仿宋_GB2312" w:hAnsi="仿宋_GB2312" w:eastAsia="仿宋_GB2312" w:cs="仿宋_GB2312"/>
          <w:b w:val="0"/>
          <w:bCs/>
          <w:sz w:val="28"/>
          <w:szCs w:val="28"/>
        </w:rPr>
        <w:t>知识资产化与全生命周期管理。</w:t>
      </w:r>
    </w:p>
    <w:p>
      <w:pPr>
        <w:pStyle w:val="5"/>
        <w:bidi w:val="0"/>
        <w:spacing w:before="0" w:after="0" w:line="560" w:lineRule="exact"/>
        <w:ind w:firstLine="560" w:firstLineChars="200"/>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2.智能体构建：</w:t>
      </w:r>
      <w:r>
        <w:rPr>
          <w:rFonts w:hint="eastAsia" w:ascii="仿宋_GB2312" w:hAnsi="仿宋_GB2312" w:eastAsia="仿宋_GB2312" w:cs="仿宋_GB2312"/>
          <w:b w:val="0"/>
          <w:bCs/>
          <w:sz w:val="28"/>
          <w:szCs w:val="28"/>
        </w:rPr>
        <w:t>基于模块化架构设计任务推理引擎，集成意图识别、多轮对话与决策链技术，打造可编排、可解释的AI智能体集群，支持自动化任务分解、多模态交互（文本/语音/图像）及API服务矩阵调用，实现跨系统业务场景的端到端闭环处理与自适应优化。</w:t>
      </w:r>
    </w:p>
    <w:p>
      <w:pPr>
        <w:spacing w:beforeLines="0" w:afterLines="0" w:line="560" w:lineRule="exact"/>
        <w:ind w:firstLine="560" w:firstLineChars="200"/>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3.模型训练：</w:t>
      </w:r>
      <w:r>
        <w:rPr>
          <w:rFonts w:hint="eastAsia" w:ascii="仿宋" w:hAnsi="仿宋" w:eastAsia="仿宋" w:cs="仿宋"/>
          <w:b w:val="0"/>
          <w:bCs/>
          <w:sz w:val="28"/>
          <w:szCs w:val="28"/>
        </w:rPr>
        <w:t>结合</w:t>
      </w:r>
      <w:r>
        <w:rPr>
          <w:rFonts w:hint="eastAsia" w:ascii="仿宋" w:hAnsi="仿宋" w:eastAsia="仿宋" w:cs="仿宋"/>
          <w:b w:val="0"/>
          <w:bCs/>
          <w:sz w:val="28"/>
          <w:szCs w:val="28"/>
          <w:lang w:val="en-US" w:eastAsia="zh-CN"/>
        </w:rPr>
        <w:t>DeepSeek</w:t>
      </w:r>
      <w:r>
        <w:rPr>
          <w:rFonts w:hint="eastAsia" w:ascii="仿宋" w:hAnsi="仿宋" w:eastAsia="仿宋" w:cs="仿宋"/>
          <w:b w:val="0"/>
          <w:bCs/>
          <w:sz w:val="28"/>
          <w:szCs w:val="28"/>
        </w:rPr>
        <w:t>大模型基础能力与</w:t>
      </w:r>
      <w:r>
        <w:rPr>
          <w:rFonts w:hint="eastAsia" w:ascii="仿宋" w:hAnsi="仿宋" w:eastAsia="仿宋" w:cs="仿宋"/>
          <w:b w:val="0"/>
          <w:bCs/>
          <w:sz w:val="28"/>
          <w:szCs w:val="28"/>
          <w:lang w:eastAsia="zh-CN"/>
        </w:rPr>
        <w:t>业务</w:t>
      </w:r>
      <w:r>
        <w:rPr>
          <w:rFonts w:hint="eastAsia" w:ascii="仿宋" w:hAnsi="仿宋" w:eastAsia="仿宋" w:cs="仿宋"/>
          <w:b w:val="0"/>
          <w:bCs/>
          <w:sz w:val="28"/>
          <w:szCs w:val="28"/>
        </w:rPr>
        <w:t>专属数据，采用两阶段训练模式（预训练打底+业务数据精调），通过分布式训练降低算力成本，使模型既能理解通用语言规律，又能精准适配业务场景需求，实现“举一反三”的智能化水平。</w:t>
      </w:r>
    </w:p>
    <w:p>
      <w:pPr>
        <w:spacing w:beforeLines="0" w:afterLines="0" w:line="560" w:lineRule="exact"/>
        <w:ind w:firstLine="560" w:firstLineChars="200"/>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4.智能问数：通过应用引擎，构建自然语言交互接口，无缝连接业务系统，支持通过语音或文本指令实时查询业务数据，动态生成可视化图表，并提供多格式导出能力（Excel/Word/PPT），</w:t>
      </w:r>
      <w:r>
        <w:rPr>
          <w:rFonts w:hint="eastAsia" w:ascii="仿宋" w:hAnsi="仿宋" w:eastAsia="仿宋" w:cs="仿宋"/>
          <w:b w:val="0"/>
          <w:bCs/>
          <w:sz w:val="28"/>
          <w:szCs w:val="28"/>
        </w:rPr>
        <w:t>让数据洞察像使用搜索引擎一样简单。</w:t>
      </w:r>
    </w:p>
    <w:bookmarkEnd w:id="3"/>
    <w:p>
      <w:pPr>
        <w:pStyle w:val="4"/>
        <w:numPr>
          <w:ilvl w:val="0"/>
          <w:numId w:val="0"/>
        </w:numPr>
        <w:bidi w:val="0"/>
        <w:spacing w:before="0" w:after="0" w:line="560" w:lineRule="exact"/>
        <w:ind w:firstLine="560" w:firstLineChars="200"/>
        <w:rPr>
          <w:rFonts w:hint="default"/>
          <w:b w:val="0"/>
          <w:bCs/>
          <w:sz w:val="28"/>
          <w:szCs w:val="28"/>
          <w:lang w:val="en-US" w:eastAsia="zh-CN"/>
        </w:rPr>
      </w:pPr>
      <w:r>
        <w:rPr>
          <w:rFonts w:hint="eastAsia"/>
          <w:b w:val="0"/>
          <w:bCs/>
          <w:sz w:val="28"/>
          <w:szCs w:val="28"/>
          <w:lang w:val="en-US" w:eastAsia="zh-CN"/>
        </w:rPr>
        <w:t>三、平台业务办理及要求</w:t>
      </w:r>
    </w:p>
    <w:p>
      <w:pPr>
        <w:pStyle w:val="5"/>
        <w:bidi w:val="0"/>
        <w:spacing w:before="0" w:after="0" w:line="560" w:lineRule="exact"/>
        <w:ind w:firstLine="560" w:firstLineChars="200"/>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（一）业务办理流程</w:t>
      </w:r>
    </w:p>
    <w:p>
      <w:pPr>
        <w:pStyle w:val="5"/>
        <w:bidi w:val="0"/>
        <w:spacing w:before="0" w:after="0" w:line="560" w:lineRule="exact"/>
        <w:ind w:firstLine="562" w:firstLineChars="200"/>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bCs w:val="0"/>
          <w:sz w:val="28"/>
          <w:szCs w:val="28"/>
          <w:lang w:val="en-US" w:eastAsia="zh-CN"/>
        </w:rPr>
        <w:t>申请：</w:t>
      </w:r>
      <w:r>
        <w:rPr>
          <w:rFonts w:hint="default" w:ascii="Times New Roman" w:hAnsi="Times New Roman" w:eastAsia="仿宋_GB2312" w:cs="Times New Roman"/>
          <w:b w:val="0"/>
          <w:bCs/>
          <w:sz w:val="28"/>
          <w:szCs w:val="28"/>
          <w:lang w:val="en-US" w:eastAsia="zh-CN"/>
        </w:rPr>
        <w:t>各申请单位应严格依据业务实际需求开展应用建设的申请工作，指定专人负责申请材料的编制与初审，确保内容完整规范、技术方案科学合理、资源需求测算准确。通过“宁夏水利共性资源管理系统”线上提交以下材料：《自治区水利厅DeepSeek人工智能平台应用申请表》《自治区水利厅DeepSeek应用技术方案》以及安全承诺书。</w:t>
      </w:r>
    </w:p>
    <w:p>
      <w:pPr>
        <w:pStyle w:val="5"/>
        <w:bidi w:val="0"/>
        <w:spacing w:before="0" w:after="0" w:line="560" w:lineRule="exact"/>
        <w:ind w:firstLine="562" w:firstLineChars="200"/>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bCs w:val="0"/>
          <w:sz w:val="28"/>
          <w:szCs w:val="28"/>
          <w:lang w:val="en-US" w:eastAsia="zh-CN"/>
        </w:rPr>
        <w:t>审核：</w:t>
      </w:r>
      <w:r>
        <w:rPr>
          <w:rFonts w:hint="default" w:ascii="Times New Roman" w:hAnsi="Times New Roman" w:eastAsia="仿宋_GB2312" w:cs="Times New Roman"/>
          <w:b w:val="0"/>
          <w:bCs/>
          <w:sz w:val="28"/>
          <w:szCs w:val="28"/>
          <w:lang w:val="en-US" w:eastAsia="zh-CN"/>
        </w:rPr>
        <w:t>水利信息中心应在收到申请材料后</w:t>
      </w:r>
      <w:r>
        <w:rPr>
          <w:rFonts w:hint="eastAsia" w:ascii="Times New Roman" w:hAnsi="Times New Roman" w:eastAsia="仿宋_GB2312" w:cs="Times New Roman"/>
          <w:b w:val="0"/>
          <w:bCs/>
          <w:sz w:val="28"/>
          <w:szCs w:val="28"/>
          <w:lang w:val="en-US" w:eastAsia="zh-CN"/>
        </w:rPr>
        <w:t>应</w:t>
      </w:r>
      <w:bookmarkStart w:id="4" w:name="_GoBack"/>
      <w:bookmarkEnd w:id="4"/>
      <w:r>
        <w:rPr>
          <w:rFonts w:hint="eastAsia" w:ascii="Times New Roman" w:hAnsi="Times New Roman" w:eastAsia="仿宋_GB2312" w:cs="Times New Roman"/>
          <w:b w:val="0"/>
          <w:bCs/>
          <w:sz w:val="28"/>
          <w:szCs w:val="28"/>
          <w:lang w:val="en-US" w:eastAsia="zh-CN"/>
        </w:rPr>
        <w:t>及时</w:t>
      </w:r>
      <w:r>
        <w:rPr>
          <w:rFonts w:hint="default" w:ascii="Times New Roman" w:hAnsi="Times New Roman" w:eastAsia="仿宋_GB2312" w:cs="Times New Roman"/>
          <w:b w:val="0"/>
          <w:bCs/>
          <w:sz w:val="28"/>
          <w:szCs w:val="28"/>
          <w:lang w:val="en-US" w:eastAsia="zh-CN"/>
        </w:rPr>
        <w:t>完成形式审查，对材料不全或不符合要求的申报件作退件处理并一次性告知补正要求。组织对申请业务进行技术评估，重点对建设的可行性、技术架构的兼容性、数据管控的安全性、资源需求的合理性进行评估，形成评估意见报水利厅信息化主管部门。</w:t>
      </w:r>
    </w:p>
    <w:p>
      <w:pPr>
        <w:pStyle w:val="5"/>
        <w:bidi w:val="0"/>
        <w:spacing w:before="0" w:after="0" w:line="560" w:lineRule="exact"/>
        <w:ind w:firstLine="562" w:firstLineChars="200"/>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bCs w:val="0"/>
          <w:sz w:val="28"/>
          <w:szCs w:val="28"/>
          <w:lang w:val="en-US" w:eastAsia="zh-CN"/>
        </w:rPr>
        <w:t>审定：</w:t>
      </w:r>
      <w:r>
        <w:rPr>
          <w:rFonts w:hint="default" w:ascii="Times New Roman" w:hAnsi="Times New Roman" w:eastAsia="仿宋_GB2312" w:cs="Times New Roman"/>
          <w:b w:val="0"/>
          <w:bCs/>
          <w:sz w:val="28"/>
          <w:szCs w:val="28"/>
          <w:lang w:val="en-US" w:eastAsia="zh-CN"/>
        </w:rPr>
        <w:t>水利厅信息化主管部门应及时受理各单位的业务需求，审定后转水利信息中心办理。</w:t>
      </w:r>
    </w:p>
    <w:p>
      <w:pPr>
        <w:keepNext w:val="0"/>
        <w:keepLines w:val="0"/>
        <w:bidi w:val="0"/>
        <w:spacing w:line="560" w:lineRule="exact"/>
        <w:ind w:firstLine="562" w:firstLineChars="200"/>
        <w:outlineLvl w:val="9"/>
        <w:rPr>
          <w:rFonts w:hint="eastAsia" w:ascii="仿宋_GB2312" w:hAnsi="仿宋_GB2312" w:eastAsia="仿宋_GB2312" w:cs="仿宋_GB2312"/>
          <w:b w:val="0"/>
          <w:bCs/>
          <w:kern w:val="2"/>
          <w:sz w:val="28"/>
          <w:szCs w:val="28"/>
          <w:lang w:val="en-US" w:eastAsia="zh-CN" w:bidi="ar-SA"/>
        </w:rPr>
      </w:pPr>
      <w:r>
        <w:rPr>
          <w:rFonts w:hint="eastAsia" w:ascii="仿宋_GB2312" w:hAnsi="仿宋_GB2312" w:eastAsia="仿宋_GB2312" w:cs="仿宋_GB2312"/>
          <w:b/>
          <w:bCs w:val="0"/>
          <w:kern w:val="2"/>
          <w:sz w:val="28"/>
          <w:szCs w:val="28"/>
          <w:lang w:val="en-US" w:eastAsia="zh-CN" w:bidi="ar-SA"/>
        </w:rPr>
        <w:t>办理：</w:t>
      </w:r>
      <w:r>
        <w:rPr>
          <w:rFonts w:hint="eastAsia" w:ascii="仿宋_GB2312" w:hAnsi="仿宋_GB2312" w:eastAsia="仿宋_GB2312" w:cs="仿宋_GB2312"/>
          <w:b w:val="0"/>
          <w:bCs/>
          <w:kern w:val="2"/>
          <w:sz w:val="28"/>
          <w:szCs w:val="28"/>
          <w:lang w:val="en-US" w:eastAsia="zh-CN" w:bidi="ar-SA"/>
        </w:rPr>
        <w:t>水利信息中心根据审定意见开通账户及API访问权限</w:t>
      </w:r>
      <w:r>
        <w:rPr>
          <w:rFonts w:hint="eastAsia" w:ascii="仿宋_GB2312" w:hAnsi="仿宋_GB2312" w:eastAsia="仿宋_GB2312" w:cs="仿宋_GB2312"/>
          <w:b w:val="0"/>
          <w:bCs/>
          <w:color w:val="auto"/>
          <w:kern w:val="2"/>
          <w:sz w:val="28"/>
          <w:szCs w:val="28"/>
          <w:lang w:val="en-US" w:eastAsia="zh-CN" w:bidi="ar-SA"/>
        </w:rPr>
        <w:t>，</w:t>
      </w:r>
      <w:r>
        <w:rPr>
          <w:rFonts w:hint="eastAsia" w:ascii="仿宋_GB2312" w:hAnsi="仿宋_GB2312" w:eastAsia="仿宋_GB2312" w:cs="仿宋_GB2312"/>
          <w:b w:val="0"/>
          <w:bCs/>
          <w:kern w:val="2"/>
          <w:sz w:val="28"/>
          <w:szCs w:val="28"/>
          <w:lang w:val="en-US" w:eastAsia="zh-CN" w:bidi="ar-SA"/>
        </w:rPr>
        <w:t>建立应用监测管理台账，并提供相关技术咨询服务。</w:t>
      </w:r>
    </w:p>
    <w:p>
      <w:pPr>
        <w:keepNext w:val="0"/>
        <w:keepLines w:val="0"/>
        <w:numPr>
          <w:ilvl w:val="0"/>
          <w:numId w:val="1"/>
        </w:numPr>
        <w:bidi w:val="0"/>
        <w:spacing w:line="560" w:lineRule="exact"/>
        <w:ind w:firstLine="560" w:firstLineChars="200"/>
        <w:outlineLvl w:val="9"/>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有关要求</w:t>
      </w:r>
    </w:p>
    <w:p>
      <w:pPr>
        <w:keepNext w:val="0"/>
        <w:keepLines w:val="0"/>
        <w:numPr>
          <w:ilvl w:val="0"/>
          <w:numId w:val="2"/>
        </w:numPr>
        <w:bidi w:val="0"/>
        <w:spacing w:line="560" w:lineRule="exact"/>
        <w:ind w:firstLine="560" w:firstLineChars="200"/>
        <w:outlineLvl w:val="9"/>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构建知识库：依据业务领域特点，分类构建相应的知识文档体系。知识文档的格式要求如下：Markdown（.md）、Word（.doc/.docx）、文本（.txt）、PDF（.pdf）、Excel（.xlsx）以及CSV（.csv）。</w:t>
      </w:r>
    </w:p>
    <w:p>
      <w:pPr>
        <w:keepNext w:val="0"/>
        <w:keepLines w:val="0"/>
        <w:numPr>
          <w:ilvl w:val="-1"/>
          <w:numId w:val="0"/>
        </w:numPr>
        <w:bidi w:val="0"/>
        <w:spacing w:line="560" w:lineRule="exact"/>
        <w:ind w:firstLine="560" w:firstLineChars="200"/>
        <w:outlineLvl w:val="9"/>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2. 编排智能体：紧密结合特定业务场景的流程需求，深入分析并明确智能体在该场景下所需具备的核心能力，包括但不限于数据访问能力、数据处理能力、接口调用能力等。</w:t>
      </w:r>
    </w:p>
    <w:p>
      <w:pPr>
        <w:pStyle w:val="5"/>
        <w:bidi w:val="0"/>
        <w:spacing w:before="0" w:after="0" w:line="560" w:lineRule="exact"/>
        <w:ind w:firstLine="560" w:firstLineChars="200"/>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3. 模型训练：明确为实现训练目标所需的算力资源，确定训练的基础模型，整理训练数据集。</w:t>
      </w:r>
    </w:p>
    <w:p>
      <w:pPr>
        <w:pStyle w:val="5"/>
        <w:bidi w:val="0"/>
        <w:spacing w:before="0" w:after="0" w:line="560" w:lineRule="exact"/>
        <w:ind w:firstLine="560" w:firstLineChars="200"/>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4. 智能问数：精准定位数据源类型，明确所需数据指标和数据展示形式。</w:t>
      </w:r>
    </w:p>
    <w:p>
      <w:pPr>
        <w:spacing w:beforeLines="0" w:afterLines="0" w:line="560" w:lineRule="exact"/>
        <w:ind w:firstLine="560" w:firstLineChars="200"/>
        <w:rPr>
          <w:rFonts w:hint="eastAsia" w:ascii="仿宋" w:hAnsi="仿宋" w:eastAsia="仿宋" w:cs="仿宋"/>
          <w:b w:val="0"/>
          <w:sz w:val="28"/>
          <w:szCs w:val="28"/>
          <w:highlight w:val="none"/>
          <w:lang w:val="en-US" w:eastAsia="zh-CN"/>
        </w:rPr>
      </w:pPr>
      <w:r>
        <w:rPr>
          <w:rFonts w:hint="eastAsia" w:ascii="仿宋" w:hAnsi="仿宋" w:eastAsia="仿宋" w:cs="仿宋"/>
          <w:b w:val="0"/>
          <w:bCs w:val="0"/>
          <w:sz w:val="28"/>
          <w:szCs w:val="28"/>
          <w:highlight w:val="none"/>
          <w:lang w:val="en-US" w:eastAsia="zh-CN"/>
        </w:rPr>
        <w:t>5.以上定制化应用必须有专业技术团队支撑，所需费用由申请单位承担。</w:t>
      </w:r>
    </w:p>
    <w:p>
      <w:pPr>
        <w:spacing w:beforeLines="0" w:afterLines="0" w:line="560" w:lineRule="exact"/>
        <w:ind w:firstLine="560" w:firstLineChars="200"/>
        <w:rPr>
          <w:rFonts w:hint="default" w:ascii="仿宋" w:hAnsi="仿宋" w:eastAsia="仿宋" w:cs="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781F0E"/>
    <w:multiLevelType w:val="singleLevel"/>
    <w:tmpl w:val="A8781F0E"/>
    <w:lvl w:ilvl="0" w:tentative="0">
      <w:start w:val="1"/>
      <w:numFmt w:val="decimal"/>
      <w:suff w:val="space"/>
      <w:lvlText w:val="%1."/>
      <w:lvlJc w:val="left"/>
    </w:lvl>
  </w:abstractNum>
  <w:abstractNum w:abstractNumId="1">
    <w:nsid w:val="5FB2E99B"/>
    <w:multiLevelType w:val="singleLevel"/>
    <w:tmpl w:val="5FB2E99B"/>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5F3F1D"/>
    <w:rsid w:val="0087725B"/>
    <w:rsid w:val="008E5DA2"/>
    <w:rsid w:val="00F56AAE"/>
    <w:rsid w:val="02847B9A"/>
    <w:rsid w:val="033514F5"/>
    <w:rsid w:val="03F7074D"/>
    <w:rsid w:val="044D4343"/>
    <w:rsid w:val="056120A1"/>
    <w:rsid w:val="056A7B0A"/>
    <w:rsid w:val="05BF3B52"/>
    <w:rsid w:val="066252E1"/>
    <w:rsid w:val="06765CEE"/>
    <w:rsid w:val="093D20B4"/>
    <w:rsid w:val="0AF91FB9"/>
    <w:rsid w:val="0B9E2F89"/>
    <w:rsid w:val="0BF71E6B"/>
    <w:rsid w:val="0C7620CF"/>
    <w:rsid w:val="0D9A60B2"/>
    <w:rsid w:val="0EF01B78"/>
    <w:rsid w:val="0F013483"/>
    <w:rsid w:val="139D148E"/>
    <w:rsid w:val="13B0481C"/>
    <w:rsid w:val="14452788"/>
    <w:rsid w:val="147A1D85"/>
    <w:rsid w:val="15326610"/>
    <w:rsid w:val="16DA3658"/>
    <w:rsid w:val="178E0E48"/>
    <w:rsid w:val="184B1A3D"/>
    <w:rsid w:val="1A6C7661"/>
    <w:rsid w:val="1A947DA2"/>
    <w:rsid w:val="1E211CB5"/>
    <w:rsid w:val="1F2474A7"/>
    <w:rsid w:val="1FA8046F"/>
    <w:rsid w:val="20F54C02"/>
    <w:rsid w:val="21941152"/>
    <w:rsid w:val="224631C9"/>
    <w:rsid w:val="236176AE"/>
    <w:rsid w:val="25AF1BE4"/>
    <w:rsid w:val="263A13EB"/>
    <w:rsid w:val="28C411E9"/>
    <w:rsid w:val="293C4B37"/>
    <w:rsid w:val="29400C95"/>
    <w:rsid w:val="2AE73CF5"/>
    <w:rsid w:val="2BB62D59"/>
    <w:rsid w:val="320A427F"/>
    <w:rsid w:val="34B00BC9"/>
    <w:rsid w:val="379C259E"/>
    <w:rsid w:val="37AD0410"/>
    <w:rsid w:val="3E5F3F1D"/>
    <w:rsid w:val="40C313BA"/>
    <w:rsid w:val="40D221A7"/>
    <w:rsid w:val="41605A5A"/>
    <w:rsid w:val="41CD6DC8"/>
    <w:rsid w:val="43654AFE"/>
    <w:rsid w:val="44355C57"/>
    <w:rsid w:val="455273CF"/>
    <w:rsid w:val="45CB5E48"/>
    <w:rsid w:val="48F154C1"/>
    <w:rsid w:val="49A23322"/>
    <w:rsid w:val="4ABC42C3"/>
    <w:rsid w:val="4B202CE0"/>
    <w:rsid w:val="4B8B5ECF"/>
    <w:rsid w:val="4C076A44"/>
    <w:rsid w:val="4CB94FBE"/>
    <w:rsid w:val="4ED41A12"/>
    <w:rsid w:val="508B5BEF"/>
    <w:rsid w:val="50AB24CC"/>
    <w:rsid w:val="51782617"/>
    <w:rsid w:val="53745413"/>
    <w:rsid w:val="53BC459C"/>
    <w:rsid w:val="54ED50CA"/>
    <w:rsid w:val="55EB07FC"/>
    <w:rsid w:val="566307AE"/>
    <w:rsid w:val="56B20379"/>
    <w:rsid w:val="58A94B3D"/>
    <w:rsid w:val="59921ECA"/>
    <w:rsid w:val="59E70011"/>
    <w:rsid w:val="5DD01253"/>
    <w:rsid w:val="5FA36ADD"/>
    <w:rsid w:val="60340702"/>
    <w:rsid w:val="62743A84"/>
    <w:rsid w:val="62A63DB0"/>
    <w:rsid w:val="662A2BF0"/>
    <w:rsid w:val="6B4052E2"/>
    <w:rsid w:val="6B410BA1"/>
    <w:rsid w:val="6CA5065A"/>
    <w:rsid w:val="6CAD0DDA"/>
    <w:rsid w:val="6D000BE4"/>
    <w:rsid w:val="6F2E5B95"/>
    <w:rsid w:val="70B02DA9"/>
    <w:rsid w:val="71E07391"/>
    <w:rsid w:val="744F5002"/>
    <w:rsid w:val="79AA6B0C"/>
    <w:rsid w:val="7AE24605"/>
    <w:rsid w:val="7BB12C18"/>
    <w:rsid w:val="7DE037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2">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sz w:val="28"/>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594</Words>
  <Characters>660</Characters>
  <Lines>0</Lines>
  <Paragraphs>0</Paragraphs>
  <TotalTime>30</TotalTime>
  <ScaleCrop>false</ScaleCrop>
  <LinksUpToDate>false</LinksUpToDate>
  <CharactersWithSpaces>660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2025-03-13T11:19:00Z</dcterms:created>
  <dc:creator>吴涛</dc:creator>
  <cp:lastModifiedBy>赵杰</cp:lastModifiedBy>
  <dcterms:modified xsi:type="dcterms:W3CDTF">2025-03-18T09:47:49Z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6D40E9D2F95F4558AA2C06FA48450C6A_13</vt:lpwstr>
  </property>
  <property fmtid="{D5CDD505-2E9C-101B-9397-08002B2CF9AE}" pid="4" name="KSOTemplateDocerSaveRecord">
    <vt:lpwstr>eyJoZGlkIjoiM2ExNzAwMjBjNDY0M2EyMWFkYTAwOGUzYmM2MjI2ZWYiLCJ1c2VySWQiOiI0MzY5OTMxMDIifQ==</vt:lpwstr>
  </property>
</Properties>
</file>