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全区“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地下水型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饮用水水源地调查表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填报单位名称（盖章）：</w:t>
      </w:r>
    </w:p>
    <w:tbl>
      <w:tblPr>
        <w:tblStyle w:val="5"/>
        <w:tblW w:w="21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6"/>
        <w:gridCol w:w="670"/>
        <w:gridCol w:w="1003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1284"/>
        <w:gridCol w:w="872"/>
        <w:gridCol w:w="1108"/>
        <w:gridCol w:w="1016"/>
        <w:gridCol w:w="920"/>
        <w:gridCol w:w="618"/>
        <w:gridCol w:w="951"/>
        <w:gridCol w:w="701"/>
        <w:gridCol w:w="714"/>
        <w:gridCol w:w="912"/>
        <w:gridCol w:w="1004"/>
        <w:gridCol w:w="671"/>
        <w:gridCol w:w="671"/>
        <w:gridCol w:w="706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所在行政区域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水源地标准名称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传统名称（在用名称）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所属流域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所在水资源分区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供水目标城市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水厂名称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取水许可证号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取水井信息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计量设施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2021年水质类别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多年平均可开采量（万m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设计供水年取水量（万m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设计供水人口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2021年实际供水人口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水质监测部门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水源地管理单位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管理单位隶属的行业主管部门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保护区（范围）划定年份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保护区面积（km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取水井经度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取水井维度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成井时间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取水层位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取水井是否位于超采区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一级保护区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二级保护区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准保护区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...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240" w:firstLineChars="1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填报人：                                        审核人：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23811" w:h="16838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地下水型饮用水水源地调查表填表说明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1.水源地所在行政区域请列出市、县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val="en-US" w:eastAsia="zh-CN"/>
        </w:rPr>
        <w:t>（区）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具体名称。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2.水源地标准名称釆用“所在地或取水单位名称+水源地”的统一方式进行命名。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3.与标准名称差异较大的，可填写传统名称（在用名称），或者填写与饮用水水源保护区批复文件中一致的水源地名称。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4.所在水资源分区请具体到三级分区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三级分区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名称：兰州至下河沿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清水河、苦水河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val="en-US" w:eastAsia="zh-CN"/>
        </w:rPr>
        <w:t>/下河沿至石嘴山/（盐池）内流区/泾河张家山以上/渭河宝鸡以上/石羊河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5.供水目标城市指水源地向市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县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  <w:lang w:eastAsia="zh-CN"/>
        </w:rPr>
        <w:t>（区）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供水城市的名称。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6.取水井信息与取水工程（设施）核查登记相一致，并给出每一眼机井的经纬度、取水层位（深层或浅层）、成井时间、取水量、计量情况等。对于利用地下暗河或伏流出露的形式（不存在建设取水井）的地下水水源地，可根据具体情况选填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7.已安装计量设施的请填写计量设施的具体类型，如机械水表、超声波流量计、电磁流量计等；未安装计量设施的请填写“未安装”或者“以电折水”。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8.水质监测部门请填写水利、生态环境、住房城乡建设、第三方监测机构等。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9.管理单位指负责水源地日常运行、管理与保护的具体管理单位名称，如**有限公司、**水库管理局、**自来水公司等。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10.管理单位隶属的行业主管部门请填写水利、生态环境、住房城乡建设等行业主管部门。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20" w:lineRule="exact"/>
        <w:ind w:firstLine="640"/>
        <w:textAlignment w:val="auto"/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shd w:val="clear" w:color="auto" w:fill="FFFFFF"/>
        </w:rPr>
        <w:t>11.城市备用水源地的调查内容与集中式饮用水水源地的调查内容一致，备用水源地请在“备注”中标明“备用”或“在用”。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689" w:bottom="1440" w:left="1633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1F1A7F99"/>
    <w:rsid w:val="1F1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rFonts w:ascii="黑体" w:eastAsia="黑体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2022-06-01T01:26:00Z</dcterms:created>
  <dc:creator>admin</dc:creator>
  <cp:lastModifiedBy>admin</cp:lastModifiedBy>
  <dcterms:modified xsi:type="dcterms:W3CDTF">2022-06-01T01:26:53Z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9DB23BFC4C1F496CB5C70AA83F0E72EC</vt:lpwstr>
  </property>
</Properties>
</file>