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-31" w:rightChars="-15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</w:pP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  <w:t>宁夏青铜峡灌区现代化改造工程2025年</w:t>
      </w:r>
      <w:r>
        <w:rPr>
          <w:rFonts w:hint="eastAsia" w:eastAsia="方正小标宋简体" w:cs="Times New Roman"/>
          <w:color w:val="000000"/>
          <w:kern w:val="0"/>
          <w:sz w:val="32"/>
          <w:szCs w:val="32"/>
          <w:lang w:eastAsia="zh-CN" w:bidi="ar"/>
        </w:rPr>
        <w:t>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  <w:t>第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  <w:t>批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  <w:t>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  <w:t>概算核定表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单位：万元</w:t>
      </w:r>
    </w:p>
    <w:tbl>
      <w:tblPr>
        <w:tblStyle w:val="4"/>
        <w:tblW w:w="499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356"/>
        <w:gridCol w:w="1091"/>
        <w:gridCol w:w="1052"/>
        <w:gridCol w:w="1104"/>
        <w:gridCol w:w="11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 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 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 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 建筑工程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干渠工程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调蓄工程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支渠工程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机电设备及安装工程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 金属结构设备及安装工程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第一至三部分合计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第四部分 临时工程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5107.90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第一至四部分合计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第五部分 独立费用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第一至五部分合计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工程部分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建设征地补偿工程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818.88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640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12814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</w:tbl>
    <w:p>
      <w:pPr>
        <w:tabs>
          <w:tab w:val="left" w:pos="5260"/>
        </w:tabs>
        <w:spacing w:line="40" w:lineRule="exact"/>
        <w:outlineLvl w:val="9"/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4993"/>
    <w:rsid w:val="637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2025-08-25T02:38:00Z</dcterms:created>
  <dc:creator>Administrator</dc:creator>
  <cp:lastModifiedBy>Administrator</cp:lastModifiedBy>
  <dcterms:modified xsi:type="dcterms:W3CDTF">2025-08-25T02:39:05Z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