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3238" w:type="dxa"/>
        <w:tblInd w:w="0" w:type="dxa"/>
        <w:tblLayout w:type="fixed"/>
        <w:tblCellMar>
          <w:top w:w="0" w:type="dxa"/>
          <w:left w:w="0" w:type="dxa"/>
          <w:bottom w:w="0" w:type="dxa"/>
          <w:right w:w="0" w:type="dxa"/>
        </w:tblCellMar>
      </w:tblPr>
      <w:tblGrid>
        <w:gridCol w:w="11"/>
        <w:gridCol w:w="508"/>
        <w:gridCol w:w="11"/>
        <w:gridCol w:w="3637"/>
        <w:gridCol w:w="11"/>
        <w:gridCol w:w="4679"/>
        <w:gridCol w:w="11"/>
        <w:gridCol w:w="1839"/>
        <w:gridCol w:w="11"/>
        <w:gridCol w:w="2509"/>
        <w:gridCol w:w="11"/>
      </w:tblGrid>
      <w:tr>
        <w:tblPrEx>
          <w:tblCellMar>
            <w:top w:w="0" w:type="dxa"/>
            <w:left w:w="0" w:type="dxa"/>
            <w:bottom w:w="0" w:type="dxa"/>
            <w:right w:w="0" w:type="dxa"/>
          </w:tblCellMar>
        </w:tblPrEx>
        <w:trPr>
          <w:gridAfter w:val="1"/>
          <w:wAfter w:w="11" w:type="dxa"/>
          <w:trHeight w:val="90" w:hRule="atLeast"/>
        </w:trPr>
        <w:tc>
          <w:tcPr>
            <w:tcW w:w="13227" w:type="dxa"/>
            <w:gridSpan w:val="10"/>
            <w:tcBorders>
              <w:top w:val="nil"/>
              <w:left w:val="nil"/>
              <w:bottom w:val="nil"/>
              <w:right w:val="nil"/>
            </w:tcBorders>
            <w:shd w:val="clear" w:color="auto" w:fill="auto"/>
            <w:noWrap/>
            <w:tcMar>
              <w:top w:w="11" w:type="dxa"/>
              <w:left w:w="23" w:type="dxa"/>
              <w:right w:w="11" w:type="dxa"/>
            </w:tcMar>
            <w:vAlign w:val="center"/>
          </w:tcPr>
          <w:p>
            <w:pPr>
              <w:spacing w:line="400" w:lineRule="exact"/>
              <w:rPr>
                <w:rFonts w:ascii="Times New Roman" w:hAnsi="Times New Roman" w:eastAsia="黑体"/>
                <w:spacing w:val="-6"/>
                <w:sz w:val="32"/>
                <w:szCs w:val="32"/>
              </w:rPr>
            </w:pPr>
            <w:bookmarkStart w:id="0" w:name="_GoBack"/>
            <w:bookmarkEnd w:id="0"/>
            <w:r>
              <w:rPr>
                <w:rFonts w:ascii="Times New Roman" w:hAnsi="Times New Roman" w:eastAsia="黑体"/>
                <w:spacing w:val="-6"/>
                <w:sz w:val="32"/>
                <w:szCs w:val="32"/>
              </w:rPr>
              <w:t>附件3</w:t>
            </w:r>
          </w:p>
          <w:p>
            <w:pPr>
              <w:widowControl/>
              <w:spacing w:beforeLines="50" w:afterLines="50" w:line="580" w:lineRule="exact"/>
              <w:jc w:val="center"/>
              <w:textAlignment w:val="center"/>
              <w:rPr>
                <w:rFonts w:ascii="Times New Roman" w:hAnsi="Times New Roman" w:eastAsiaTheme="minorEastAsia"/>
                <w:szCs w:val="21"/>
              </w:rPr>
            </w:pPr>
            <w:r>
              <w:rPr>
                <w:rFonts w:ascii="Times New Roman" w:hAnsi="Times New Roman" w:eastAsia="方正小标宋简体"/>
                <w:sz w:val="44"/>
                <w:szCs w:val="44"/>
              </w:rPr>
              <w:t>重点工程项目责任分工清单</w:t>
            </w:r>
          </w:p>
        </w:tc>
      </w:tr>
      <w:tr>
        <w:tblPrEx>
          <w:tblCellMar>
            <w:top w:w="0" w:type="dxa"/>
            <w:left w:w="0" w:type="dxa"/>
            <w:bottom w:w="0" w:type="dxa"/>
            <w:right w:w="0" w:type="dxa"/>
          </w:tblCellMar>
        </w:tblPrEx>
        <w:trPr>
          <w:gridAfter w:val="1"/>
          <w:wAfter w:w="11" w:type="dxa"/>
          <w:trHeight w:val="363"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黑体" w:hAnsi="黑体" w:eastAsia="黑体" w:cs="黑体"/>
                <w:b w:val="0"/>
                <w:bCs/>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黑体" w:hAnsi="黑体" w:eastAsia="黑体" w:cs="黑体"/>
                <w:b w:val="0"/>
                <w:bCs/>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黑体" w:hAnsi="黑体" w:eastAsia="黑体" w:cs="黑体"/>
                <w:b w:val="0"/>
                <w:bCs/>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黑体" w:hAnsi="黑体" w:eastAsia="黑体" w:cs="黑体"/>
                <w:b w:val="0"/>
                <w:bCs/>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黑体" w:hAnsi="黑体" w:eastAsia="黑体" w:cs="黑体"/>
                <w:b w:val="0"/>
                <w:bCs/>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348"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一、黄河流域生态保护和高质量发展先行区建设十大工程项目</w:t>
            </w:r>
          </w:p>
        </w:tc>
      </w:tr>
      <w:tr>
        <w:tblPrEx>
          <w:tblCellMar>
            <w:top w:w="0" w:type="dxa"/>
            <w:left w:w="0" w:type="dxa"/>
            <w:bottom w:w="0" w:type="dxa"/>
            <w:right w:w="0" w:type="dxa"/>
          </w:tblCellMar>
        </w:tblPrEx>
        <w:trPr>
          <w:gridAfter w:val="1"/>
          <w:wAfter w:w="11" w:type="dxa"/>
          <w:trHeight w:val="69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黄河黑山峡河段开发工程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积极协调国家部委推进黄河黑山峡河段开发前期工作，争</w:t>
            </w:r>
            <w:r>
              <w:rPr>
                <w:rFonts w:hint="eastAsia" w:ascii="仿宋_GB2312" w:hAnsi="仿宋_GB2312" w:eastAsia="仿宋_GB2312" w:cs="仿宋_GB2312"/>
                <w:kern w:val="0"/>
                <w:szCs w:val="21"/>
              </w:rPr>
              <w:t>取“十四五”期</w:t>
            </w:r>
            <w:r>
              <w:rPr>
                <w:rFonts w:ascii="Times New Roman" w:hAnsi="Times New Roman" w:eastAsia="仿宋_GB2312"/>
                <w:kern w:val="0"/>
                <w:szCs w:val="21"/>
              </w:rPr>
              <w:t>间国家立项建设。</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水利厅、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财政厅、自然资源厅、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生态环境厅、农业农村厅</w:t>
            </w:r>
          </w:p>
        </w:tc>
      </w:tr>
      <w:tr>
        <w:tblPrEx>
          <w:tblCellMar>
            <w:top w:w="0" w:type="dxa"/>
            <w:left w:w="0" w:type="dxa"/>
            <w:bottom w:w="0" w:type="dxa"/>
            <w:right w:w="0" w:type="dxa"/>
          </w:tblCellMar>
        </w:tblPrEx>
        <w:trPr>
          <w:gridAfter w:val="1"/>
          <w:wAfter w:w="11" w:type="dxa"/>
          <w:trHeight w:val="9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2</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黄河宁夏段河道治理项目</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实施堤防工程、河道整治、滩地修复、智慧黄河等项目，完成黄河宁夏段干流河道治理267公里，实现主要城市段防洪标准100年一遇</w:t>
            </w:r>
            <w:r>
              <w:rPr>
                <w:rFonts w:hint="eastAsia" w:ascii="Times New Roman" w:hAnsi="Times New Roman" w:eastAsia="仿宋_GB2312"/>
                <w:kern w:val="0"/>
                <w:szCs w:val="21"/>
              </w:rPr>
              <w:t>，</w:t>
            </w:r>
            <w:r>
              <w:rPr>
                <w:rFonts w:ascii="Times New Roman" w:hAnsi="Times New Roman" w:eastAsia="仿宋_GB2312"/>
                <w:kern w:val="0"/>
                <w:szCs w:val="21"/>
              </w:rPr>
              <w:t>其他河段防洪标准50年一遇。</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水利厅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自然资源厅、生态环境厅、农业农村厅、林草局</w:t>
            </w:r>
          </w:p>
        </w:tc>
      </w:tr>
      <w:tr>
        <w:tblPrEx>
          <w:tblCellMar>
            <w:top w:w="0" w:type="dxa"/>
            <w:left w:w="0" w:type="dxa"/>
            <w:bottom w:w="0" w:type="dxa"/>
            <w:right w:w="0" w:type="dxa"/>
          </w:tblCellMar>
        </w:tblPrEx>
        <w:trPr>
          <w:gridAfter w:val="1"/>
          <w:wAfter w:w="11" w:type="dxa"/>
          <w:trHeight w:val="1236"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3</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hint="eastAsia" w:ascii="仿宋_GB2312" w:hAnsi="仿宋_GB2312" w:eastAsia="仿宋_GB2312" w:cs="仿宋_GB2312"/>
                <w:kern w:val="0"/>
                <w:szCs w:val="21"/>
              </w:rPr>
              <w:t>“三山”生态保护和修</w:t>
            </w:r>
            <w:r>
              <w:rPr>
                <w:rFonts w:ascii="Times New Roman" w:hAnsi="Times New Roman" w:eastAsia="仿宋_GB2312"/>
                <w:kern w:val="0"/>
                <w:szCs w:val="21"/>
              </w:rPr>
              <w:t>复项目</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实施矿山地质环境及国土综合整治、沟道防洪治理、河湖湿地及水环境综合治理，开展国土绿化、防沙治沙和水土保持，推进贺兰山、罗山、六盘山生态环境保护和修复取得重大进展。</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自然资源厅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发展改革委、财政厅、生态环境厅、水利厅、农业农村厅、文化和旅游厅、林草局</w:t>
            </w:r>
          </w:p>
        </w:tc>
      </w:tr>
      <w:tr>
        <w:tblPrEx>
          <w:tblCellMar>
            <w:top w:w="0" w:type="dxa"/>
            <w:left w:w="0" w:type="dxa"/>
            <w:bottom w:w="0" w:type="dxa"/>
            <w:right w:w="0" w:type="dxa"/>
          </w:tblCellMar>
        </w:tblPrEx>
        <w:trPr>
          <w:gridAfter w:val="1"/>
          <w:wAfter w:w="11" w:type="dxa"/>
          <w:trHeight w:val="97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4</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宁夏城乡供水一体化工程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建成银川都市圈西线、东线、中线城乡供水工程和清水河流域城乡供水工程，推进“互联网+城乡供水”示范省（区）建设。</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水利厅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发展改革委、财政厅、自然资源厅、生态环境厅、住房城乡建设厅、农业农村厅</w:t>
            </w:r>
          </w:p>
        </w:tc>
      </w:tr>
      <w:tr>
        <w:tblPrEx>
          <w:tblCellMar>
            <w:top w:w="0" w:type="dxa"/>
            <w:left w:w="0" w:type="dxa"/>
            <w:bottom w:w="0" w:type="dxa"/>
            <w:right w:w="0" w:type="dxa"/>
          </w:tblCellMar>
        </w:tblPrEx>
        <w:trPr>
          <w:gridAfter w:val="1"/>
          <w:wAfter w:w="11" w:type="dxa"/>
          <w:trHeight w:val="70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5</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银川至太原时速350公里高速铁路项目</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按照双线350公里/小时标准</w:t>
            </w:r>
            <w:r>
              <w:rPr>
                <w:rFonts w:hint="eastAsia" w:ascii="仿宋_GB2312" w:hAnsi="仿宋_GB2312" w:eastAsia="仿宋_GB2312" w:cs="仿宋_GB2312"/>
                <w:kern w:val="0"/>
                <w:szCs w:val="21"/>
              </w:rPr>
              <w:t>，力争“十四五”</w:t>
            </w:r>
            <w:r>
              <w:rPr>
                <w:rFonts w:ascii="Times New Roman" w:hAnsi="Times New Roman" w:eastAsia="仿宋_GB2312"/>
                <w:kern w:val="0"/>
                <w:szCs w:val="21"/>
              </w:rPr>
              <w:t>期间开工建设银川至太原高速铁路，其中宁夏段151公里。</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财政厅、自然资源厅、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生态环境厅</w:t>
            </w:r>
          </w:p>
        </w:tc>
      </w:tr>
      <w:tr>
        <w:tblPrEx>
          <w:tblCellMar>
            <w:top w:w="0" w:type="dxa"/>
            <w:left w:w="0" w:type="dxa"/>
            <w:bottom w:w="0" w:type="dxa"/>
            <w:right w:w="0" w:type="dxa"/>
          </w:tblCellMar>
        </w:tblPrEx>
        <w:trPr>
          <w:gridAfter w:val="1"/>
          <w:wAfter w:w="11" w:type="dxa"/>
          <w:trHeight w:val="74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6</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银川河东国际机场改扩建项目</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新建12万平方米航站楼和3600米平行滑行道，完善相关配套设施。</w:t>
            </w:r>
            <w:r>
              <w:rPr>
                <w:rFonts w:hint="eastAsia" w:ascii="Times New Roman" w:hAnsi="Times New Roman" w:eastAsia="仿宋_GB2312"/>
                <w:kern w:val="0"/>
                <w:szCs w:val="21"/>
              </w:rPr>
              <w:t>争取2022年完成前期工作并开工建设。</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西部机场集团宁夏机场公司</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财政厅、自然资源厅、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生态环境厅</w:t>
            </w:r>
          </w:p>
        </w:tc>
      </w:tr>
      <w:tr>
        <w:tblPrEx>
          <w:tblCellMar>
            <w:top w:w="0" w:type="dxa"/>
            <w:left w:w="0" w:type="dxa"/>
            <w:bottom w:w="0" w:type="dxa"/>
            <w:right w:w="0" w:type="dxa"/>
          </w:tblCellMar>
        </w:tblPrEx>
        <w:trPr>
          <w:gridAfter w:val="1"/>
          <w:wAfter w:w="11" w:type="dxa"/>
          <w:trHeight w:val="76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7</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银昆高速宁夏段项目</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建成银昆高速太阳山开发区至彭阳段四车道高速公路237公里，</w:t>
            </w:r>
            <w:r>
              <w:rPr>
                <w:rFonts w:hint="eastAsia" w:ascii="Times New Roman" w:hAnsi="Times New Roman" w:eastAsia="仿宋_GB2312"/>
                <w:kern w:val="0"/>
                <w:szCs w:val="21"/>
              </w:rPr>
              <w:t>2024年全面完成并开通运营</w:t>
            </w:r>
            <w:r>
              <w:rPr>
                <w:rFonts w:ascii="Times New Roman" w:hAnsi="Times New Roman" w:eastAsia="仿宋_GB2312"/>
                <w:kern w:val="0"/>
                <w:szCs w:val="21"/>
              </w:rPr>
              <w:t>。</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交通运输厅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自然资源厅，有关市县（区）</w:t>
            </w:r>
          </w:p>
        </w:tc>
      </w:tr>
      <w:tr>
        <w:tblPrEx>
          <w:tblCellMar>
            <w:top w:w="0" w:type="dxa"/>
            <w:left w:w="0" w:type="dxa"/>
            <w:bottom w:w="0" w:type="dxa"/>
            <w:right w:w="0" w:type="dxa"/>
          </w:tblCellMar>
        </w:tblPrEx>
        <w:trPr>
          <w:gridBefore w:val="1"/>
          <w:wBefore w:w="11" w:type="dxa"/>
          <w:trHeight w:val="33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78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8</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宁夏至华中特高压直流输电及配套新能源项目</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textAlignment w:val="center"/>
              <w:rPr>
                <w:rFonts w:ascii="Times New Roman" w:hAnsi="Times New Roman" w:eastAsia="仿宋_GB2312"/>
                <w:szCs w:val="21"/>
              </w:rPr>
            </w:pPr>
            <w:r>
              <w:rPr>
                <w:rFonts w:ascii="Times New Roman" w:hAnsi="Times New Roman" w:eastAsia="仿宋_GB2312"/>
                <w:kern w:val="0"/>
                <w:szCs w:val="21"/>
              </w:rPr>
              <w:t>建设宁夏天都山</w:t>
            </w:r>
            <w:r>
              <w:rPr>
                <w:rFonts w:hint="eastAsia" w:ascii="仿宋_GB2312" w:hAnsi="仿宋_GB2312" w:eastAsia="仿宋_GB2312" w:cs="仿宋_GB2312"/>
                <w:kern w:val="0"/>
                <w:szCs w:val="21"/>
              </w:rPr>
              <w:t>—</w:t>
            </w:r>
            <w:r>
              <w:rPr>
                <w:rFonts w:ascii="Times New Roman" w:hAnsi="Times New Roman" w:eastAsia="仿宋_GB2312"/>
                <w:kern w:val="0"/>
                <w:szCs w:val="21"/>
              </w:rPr>
              <w:t>华中</w:t>
            </w:r>
            <w:r>
              <w:rPr>
                <w:rFonts w:hint="eastAsia" w:ascii="仿宋_GB2312" w:hAnsi="仿宋_GB2312" w:eastAsia="仿宋_GB2312" w:cs="仿宋_GB2312"/>
                <w:kern w:val="0"/>
                <w:szCs w:val="21"/>
              </w:rPr>
              <w:t>±</w:t>
            </w:r>
            <w:r>
              <w:rPr>
                <w:rFonts w:ascii="Times New Roman" w:hAnsi="Times New Roman" w:eastAsia="仿宋_GB2312"/>
                <w:kern w:val="0"/>
                <w:szCs w:val="21"/>
              </w:rPr>
              <w:t>800千伏输电线路，配套建设1000万千瓦新能源、天都山换流站和750千伏交流工程</w:t>
            </w:r>
            <w:r>
              <w:rPr>
                <w:rFonts w:hint="eastAsia" w:ascii="Times New Roman" w:hAnsi="Times New Roman" w:eastAsia="仿宋_GB2312"/>
                <w:kern w:val="0"/>
                <w:szCs w:val="21"/>
              </w:rPr>
              <w:t>，争取2025年建成投运</w:t>
            </w:r>
            <w:r>
              <w:rPr>
                <w:rFonts w:ascii="Times New Roman" w:hAnsi="Times New Roman" w:eastAsia="仿宋_GB2312"/>
                <w:kern w:val="0"/>
                <w:szCs w:val="21"/>
              </w:rPr>
              <w:t>。</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发展改革委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自然资源厅、生态环境厅、国网宁夏电力有限公司</w:t>
            </w:r>
          </w:p>
        </w:tc>
      </w:tr>
      <w:tr>
        <w:tblPrEx>
          <w:tblCellMar>
            <w:top w:w="0" w:type="dxa"/>
            <w:left w:w="0" w:type="dxa"/>
            <w:bottom w:w="0" w:type="dxa"/>
            <w:right w:w="0" w:type="dxa"/>
          </w:tblCellMar>
        </w:tblPrEx>
        <w:trPr>
          <w:gridAfter w:val="1"/>
          <w:wAfter w:w="11" w:type="dxa"/>
          <w:trHeight w:val="672"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9</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青铜峡抽水蓄能电站项目</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textAlignment w:val="center"/>
              <w:rPr>
                <w:rFonts w:ascii="Times New Roman" w:hAnsi="Times New Roman" w:eastAsia="仿宋_GB2312"/>
                <w:szCs w:val="21"/>
              </w:rPr>
            </w:pPr>
            <w:r>
              <w:rPr>
                <w:rFonts w:ascii="Times New Roman" w:hAnsi="Times New Roman" w:eastAsia="仿宋_GB2312"/>
                <w:kern w:val="0"/>
                <w:szCs w:val="21"/>
              </w:rPr>
              <w:t>建设100万千瓦抽水蓄能项目及相关配套设施，力争</w:t>
            </w:r>
            <w:r>
              <w:rPr>
                <w:rFonts w:hint="eastAsia" w:ascii="仿宋_GB2312" w:hAnsi="仿宋_GB2312" w:eastAsia="仿宋_GB2312" w:cs="仿宋_GB2312"/>
                <w:kern w:val="0"/>
                <w:szCs w:val="21"/>
              </w:rPr>
              <w:t>“十四五”</w:t>
            </w:r>
            <w:r>
              <w:rPr>
                <w:rFonts w:ascii="Times New Roman" w:hAnsi="Times New Roman" w:eastAsia="仿宋_GB2312"/>
                <w:kern w:val="0"/>
                <w:szCs w:val="21"/>
              </w:rPr>
              <w:t>期间完成库体工程。</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发展改革委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自然资源厅、生态环境厅、水利厅</w:t>
            </w:r>
            <w:r>
              <w:rPr>
                <w:rFonts w:hint="eastAsia" w:ascii="Times New Roman" w:hAnsi="Times New Roman" w:eastAsia="仿宋_GB2312"/>
                <w:kern w:val="0"/>
                <w:szCs w:val="21"/>
              </w:rPr>
              <w:t>、</w:t>
            </w:r>
            <w:r>
              <w:rPr>
                <w:rFonts w:ascii="Times New Roman" w:hAnsi="Times New Roman" w:eastAsia="仿宋_GB2312"/>
                <w:kern w:val="0"/>
                <w:szCs w:val="21"/>
              </w:rPr>
              <w:t>国网宁夏电力有限公司</w:t>
            </w:r>
            <w:r>
              <w:rPr>
                <w:rFonts w:hint="eastAsia" w:ascii="Times New Roman" w:hAnsi="Times New Roman" w:eastAsia="仿宋_GB2312"/>
                <w:kern w:val="0"/>
                <w:szCs w:val="21"/>
              </w:rPr>
              <w:t>、青铜峡市</w:t>
            </w:r>
          </w:p>
        </w:tc>
      </w:tr>
      <w:tr>
        <w:tblPrEx>
          <w:tblCellMar>
            <w:top w:w="0" w:type="dxa"/>
            <w:left w:w="0" w:type="dxa"/>
            <w:bottom w:w="0" w:type="dxa"/>
            <w:right w:w="0" w:type="dxa"/>
          </w:tblCellMar>
        </w:tblPrEx>
        <w:trPr>
          <w:gridAfter w:val="1"/>
          <w:wAfter w:w="11" w:type="dxa"/>
          <w:trHeight w:val="657"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10</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银川城市地下轨道交通工程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textAlignment w:val="center"/>
              <w:rPr>
                <w:rFonts w:ascii="Times New Roman" w:hAnsi="Times New Roman" w:eastAsia="仿宋_GB2312"/>
                <w:szCs w:val="21"/>
              </w:rPr>
            </w:pPr>
            <w:r>
              <w:rPr>
                <w:rFonts w:ascii="Times New Roman" w:hAnsi="Times New Roman" w:eastAsia="仿宋_GB2312"/>
                <w:kern w:val="0"/>
                <w:szCs w:val="21"/>
              </w:rPr>
              <w:t>委托国内权威专业机构，2023年前完成工程地质勘测、线路布局、投资估算等规划论证工作</w:t>
            </w:r>
            <w:r>
              <w:rPr>
                <w:rFonts w:hint="eastAsia" w:ascii="Times New Roman" w:hAnsi="Times New Roman" w:eastAsia="仿宋_GB2312"/>
                <w:kern w:val="0"/>
                <w:szCs w:val="21"/>
              </w:rPr>
              <w:t>，争取2025年底前开工建设</w:t>
            </w:r>
            <w:r>
              <w:rPr>
                <w:rFonts w:ascii="Times New Roman" w:hAnsi="Times New Roman" w:eastAsia="仿宋_GB2312"/>
                <w:kern w:val="0"/>
                <w:szCs w:val="21"/>
              </w:rPr>
              <w:t>。</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w:t>
            </w:r>
          </w:p>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银川市</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财政厅、自然资源厅、生态环境厅、住房城乡建设厅、交通运输厅</w:t>
            </w:r>
          </w:p>
        </w:tc>
      </w:tr>
      <w:tr>
        <w:tblPrEx>
          <w:tblCellMar>
            <w:top w:w="0" w:type="dxa"/>
            <w:left w:w="0" w:type="dxa"/>
            <w:bottom w:w="0" w:type="dxa"/>
            <w:right w:w="0" w:type="dxa"/>
          </w:tblCellMar>
        </w:tblPrEx>
        <w:trPr>
          <w:gridAfter w:val="1"/>
          <w:wAfter w:w="11" w:type="dxa"/>
          <w:trHeight w:val="348"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left"/>
              <w:textAlignment w:val="center"/>
              <w:rPr>
                <w:rFonts w:ascii="Times New Roman" w:hAnsi="Times New Roman" w:eastAsiaTheme="minorEastAsia"/>
                <w:b/>
                <w:bCs/>
                <w:kern w:val="0"/>
                <w:szCs w:val="21"/>
              </w:rPr>
            </w:pPr>
            <w:r>
              <w:rPr>
                <w:rFonts w:hint="eastAsia" w:ascii="仿宋_GB2312" w:hAnsi="仿宋_GB2312" w:eastAsia="仿宋_GB2312" w:cs="仿宋_GB2312"/>
                <w:b/>
                <w:bCs/>
                <w:kern w:val="0"/>
                <w:szCs w:val="21"/>
              </w:rPr>
              <w:t>二、科技创新重点工程项目</w:t>
            </w:r>
          </w:p>
        </w:tc>
      </w:tr>
      <w:tr>
        <w:tblPrEx>
          <w:tblCellMar>
            <w:top w:w="0" w:type="dxa"/>
            <w:left w:w="0" w:type="dxa"/>
            <w:bottom w:w="0" w:type="dxa"/>
            <w:right w:w="0" w:type="dxa"/>
          </w:tblCellMar>
        </w:tblPrEx>
        <w:trPr>
          <w:gridAfter w:val="1"/>
          <w:wAfter w:w="11" w:type="dxa"/>
          <w:trHeight w:val="308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11</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关键技术攻关行动</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textAlignment w:val="center"/>
              <w:rPr>
                <w:rFonts w:ascii="Times New Roman" w:hAnsi="Times New Roman" w:eastAsia="仿宋_GB2312"/>
                <w:szCs w:val="21"/>
              </w:rPr>
            </w:pPr>
            <w:r>
              <w:rPr>
                <w:rFonts w:ascii="Times New Roman" w:hAnsi="Times New Roman" w:eastAsia="仿宋_GB2312"/>
              </w:rPr>
              <w:t>围绕煤炭智能绿色开采、精细化工清洁生产、尖端装备制造等新型工业领域，酿酒葡萄新品种引育、优质高产奶牛良种繁育、枸杞高值化产品开发、滩羊种质资源保护利用、优质肉牛选育改良等现代农业领域，水生态保护修复、重点污染源头控制、高效节水、废弃物资源化利用等生态环保领域，重大和高发慢性非传染性疾病防治、自然灾害应急处置等民生领域，实施一批应用基础研究和重大关键科技研发项目，力争在重点领域突破10项左右关键共性技术。</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科技厅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工业和信息化厅、生态环境厅、水利厅、农业农村厅、卫生健康委</w:t>
            </w:r>
          </w:p>
        </w:tc>
      </w:tr>
      <w:tr>
        <w:tblPrEx>
          <w:tblCellMar>
            <w:top w:w="0" w:type="dxa"/>
            <w:left w:w="0" w:type="dxa"/>
            <w:bottom w:w="0" w:type="dxa"/>
            <w:right w:w="0" w:type="dxa"/>
          </w:tblCellMar>
        </w:tblPrEx>
        <w:trPr>
          <w:gridAfter w:val="1"/>
          <w:wAfter w:w="11" w:type="dxa"/>
          <w:trHeight w:val="1347"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12</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创新平台载体建设工程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textAlignment w:val="center"/>
              <w:rPr>
                <w:rFonts w:ascii="Times New Roman" w:hAnsi="Times New Roman" w:eastAsia="仿宋_GB2312"/>
                <w:szCs w:val="21"/>
              </w:rPr>
            </w:pPr>
            <w:r>
              <w:rPr>
                <w:rFonts w:ascii="Times New Roman" w:hAnsi="Times New Roman" w:eastAsia="仿宋_GB2312"/>
                <w:szCs w:val="21"/>
              </w:rPr>
              <w:t>创建国家高新技术开发区1个、自治区高新技术开发区5个以上；围绕自治区优势特色学科和重点产业建设重点实验室、工程技术研究中心等创新平台200个，培育新型研发机构50家以上。</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科技厅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发展改革委、教育厅、工业和信息化厅、财政厅、农业农村厅、国资委</w:t>
            </w:r>
          </w:p>
        </w:tc>
      </w:tr>
      <w:tr>
        <w:tblPrEx>
          <w:tblCellMar>
            <w:top w:w="0" w:type="dxa"/>
            <w:left w:w="0" w:type="dxa"/>
            <w:bottom w:w="0" w:type="dxa"/>
            <w:right w:w="0" w:type="dxa"/>
          </w:tblCellMar>
        </w:tblPrEx>
        <w:trPr>
          <w:gridAfter w:val="1"/>
          <w:wAfter w:w="11" w:type="dxa"/>
          <w:trHeight w:val="100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13</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创新主体培育壮大工程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textAlignment w:val="center"/>
              <w:rPr>
                <w:rFonts w:ascii="Times New Roman" w:hAnsi="Times New Roman" w:eastAsia="仿宋_GB2312"/>
                <w:szCs w:val="21"/>
              </w:rPr>
            </w:pPr>
            <w:r>
              <w:rPr>
                <w:rFonts w:ascii="Times New Roman" w:hAnsi="Times New Roman" w:eastAsia="仿宋_GB2312"/>
                <w:szCs w:val="21"/>
              </w:rPr>
              <w:t>认定创新型示范企业100家、国家高新技术企业200家、农业高新技术企业100家、自治区</w:t>
            </w:r>
            <w:r>
              <w:rPr>
                <w:rFonts w:hint="eastAsia" w:ascii="仿宋_GB2312" w:hAnsi="仿宋_GB2312" w:eastAsia="仿宋_GB2312" w:cs="仿宋_GB2312"/>
                <w:szCs w:val="21"/>
              </w:rPr>
              <w:t>科技“小巨人”</w:t>
            </w:r>
            <w:r>
              <w:rPr>
                <w:rFonts w:ascii="Times New Roman" w:hAnsi="Times New Roman" w:eastAsia="仿宋_GB2312"/>
                <w:szCs w:val="21"/>
              </w:rPr>
              <w:t>企业100家、科技型中小企业500家以上。</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科技厅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发展改革委、工业和信息化厅、财政厅、农业农村厅、国资委</w:t>
            </w:r>
          </w:p>
        </w:tc>
      </w:tr>
      <w:tr>
        <w:tblPrEx>
          <w:tblCellMar>
            <w:top w:w="0" w:type="dxa"/>
            <w:left w:w="0" w:type="dxa"/>
            <w:bottom w:w="0" w:type="dxa"/>
            <w:right w:w="0" w:type="dxa"/>
          </w:tblCellMar>
        </w:tblPrEx>
        <w:trPr>
          <w:gridAfter w:val="1"/>
          <w:wAfter w:w="11" w:type="dxa"/>
          <w:trHeight w:val="9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9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14</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科技成果转移转化提升工程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textAlignment w:val="center"/>
              <w:rPr>
                <w:rFonts w:ascii="Times New Roman" w:hAnsi="Times New Roman" w:eastAsia="仿宋_GB2312"/>
                <w:szCs w:val="21"/>
              </w:rPr>
            </w:pPr>
            <w:r>
              <w:rPr>
                <w:rFonts w:ascii="Times New Roman" w:hAnsi="Times New Roman" w:eastAsia="仿宋_GB2312"/>
                <w:kern w:val="0"/>
                <w:szCs w:val="21"/>
              </w:rPr>
              <w:t>建成科技成果转移转化示范基地和成果中试熟化基地30家；培育科技成果转移转化示范企业50家、科技中介示范机构70家。</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科技厅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spacing w:line="300" w:lineRule="exact"/>
              <w:jc w:val="center"/>
              <w:rPr>
                <w:rFonts w:ascii="Times New Roman" w:hAnsi="Times New Roman" w:eastAsia="仿宋_GB2312"/>
                <w:szCs w:val="21"/>
              </w:rPr>
            </w:pPr>
            <w:r>
              <w:rPr>
                <w:rFonts w:ascii="Times New Roman" w:hAnsi="Times New Roman" w:eastAsia="仿宋_GB2312"/>
                <w:kern w:val="0"/>
                <w:szCs w:val="21"/>
              </w:rPr>
              <w:t>发展改革委、工业和信息化厅、农业农村厅</w:t>
            </w:r>
          </w:p>
        </w:tc>
      </w:tr>
      <w:tr>
        <w:tblPrEx>
          <w:tblCellMar>
            <w:top w:w="0" w:type="dxa"/>
            <w:left w:w="0" w:type="dxa"/>
            <w:bottom w:w="0" w:type="dxa"/>
            <w:right w:w="0" w:type="dxa"/>
          </w:tblCellMar>
        </w:tblPrEx>
        <w:trPr>
          <w:gridAfter w:val="1"/>
          <w:wAfter w:w="11" w:type="dxa"/>
          <w:trHeight w:val="98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15</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科技人才引进培育工程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textAlignment w:val="center"/>
              <w:rPr>
                <w:rFonts w:ascii="Times New Roman" w:hAnsi="Times New Roman" w:eastAsia="仿宋_GB2312"/>
                <w:szCs w:val="21"/>
              </w:rPr>
            </w:pPr>
            <w:r>
              <w:rPr>
                <w:rFonts w:ascii="Times New Roman" w:hAnsi="Times New Roman" w:eastAsia="仿宋_GB2312"/>
                <w:kern w:val="0"/>
                <w:szCs w:val="21"/>
              </w:rPr>
              <w:t>建设一批人才飞地、院士工作站、博士后科研工作站（流动站）、引才引智示范基地、外国专家工作室等，培育组建和柔性引进一批高水平科技创新团队；组建自治区级科技创新团队50个左右。</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科技厅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教育厅、工业和信息化厅、财政厅、人力资源社会保障厅、农业农村厅、科协</w:t>
            </w:r>
          </w:p>
        </w:tc>
      </w:tr>
      <w:tr>
        <w:tblPrEx>
          <w:tblCellMar>
            <w:top w:w="0" w:type="dxa"/>
            <w:left w:w="0" w:type="dxa"/>
            <w:bottom w:w="0" w:type="dxa"/>
            <w:right w:w="0" w:type="dxa"/>
          </w:tblCellMar>
        </w:tblPrEx>
        <w:trPr>
          <w:gridAfter w:val="1"/>
          <w:wAfter w:w="11" w:type="dxa"/>
          <w:trHeight w:val="348"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left"/>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三、传统产业改造提升重点工程项目</w:t>
            </w:r>
          </w:p>
        </w:tc>
      </w:tr>
      <w:tr>
        <w:tblPrEx>
          <w:tblCellMar>
            <w:top w:w="0" w:type="dxa"/>
            <w:left w:w="0" w:type="dxa"/>
            <w:bottom w:w="0" w:type="dxa"/>
            <w:right w:w="0" w:type="dxa"/>
          </w:tblCellMar>
        </w:tblPrEx>
        <w:trPr>
          <w:gridAfter w:val="1"/>
          <w:wAfter w:w="11" w:type="dxa"/>
          <w:trHeight w:val="1216"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16</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产业结构改造攻坚行动</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textAlignment w:val="center"/>
              <w:rPr>
                <w:rFonts w:ascii="Times New Roman" w:hAnsi="Times New Roman" w:eastAsia="仿宋_GB2312"/>
                <w:szCs w:val="21"/>
              </w:rPr>
            </w:pPr>
            <w:r>
              <w:rPr>
                <w:rFonts w:ascii="Times New Roman" w:hAnsi="Times New Roman" w:eastAsia="仿宋_GB2312"/>
                <w:kern w:val="0"/>
                <w:szCs w:val="21"/>
              </w:rPr>
              <w:t>实施产业结构调整指导目录，改造提升化工、冶金、轻纺、机械、建材等产业，淘汰落后过剩产能和低端低效产能，培育一批市场竞争力强、品牌影响力大的优质产品。</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工业和信息化厅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发展改革委、科技厅、</w:t>
            </w:r>
          </w:p>
          <w:p>
            <w:pPr>
              <w:widowControl/>
              <w:spacing w:line="300" w:lineRule="exact"/>
              <w:jc w:val="center"/>
              <w:textAlignment w:val="center"/>
              <w:rPr>
                <w:rFonts w:ascii="Times New Roman" w:hAnsi="Times New Roman" w:eastAsia="仿宋_GB2312"/>
                <w:kern w:val="0"/>
                <w:szCs w:val="21"/>
              </w:rPr>
            </w:pPr>
            <w:r>
              <w:rPr>
                <w:rFonts w:ascii="Times New Roman" w:hAnsi="Times New Roman" w:eastAsia="仿宋_GB2312"/>
                <w:kern w:val="0"/>
                <w:szCs w:val="21"/>
              </w:rPr>
              <w:t>自然资源厅、生态环境厅、</w:t>
            </w:r>
          </w:p>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商务厅</w:t>
            </w:r>
          </w:p>
        </w:tc>
      </w:tr>
      <w:tr>
        <w:tblPrEx>
          <w:tblCellMar>
            <w:top w:w="0" w:type="dxa"/>
            <w:left w:w="0" w:type="dxa"/>
            <w:bottom w:w="0" w:type="dxa"/>
            <w:right w:w="0" w:type="dxa"/>
          </w:tblCellMar>
        </w:tblPrEx>
        <w:trPr>
          <w:gridAfter w:val="1"/>
          <w:wAfter w:w="11" w:type="dxa"/>
          <w:trHeight w:val="53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17</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产业绿色改造攻坚行动</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textAlignment w:val="center"/>
              <w:rPr>
                <w:rFonts w:ascii="Times New Roman" w:hAnsi="Times New Roman" w:eastAsia="仿宋_GB2312"/>
                <w:szCs w:val="21"/>
              </w:rPr>
            </w:pPr>
            <w:r>
              <w:rPr>
                <w:rFonts w:ascii="Times New Roman" w:hAnsi="Times New Roman" w:eastAsia="仿宋_GB2312"/>
                <w:kern w:val="0"/>
                <w:szCs w:val="21"/>
              </w:rPr>
              <w:t>以工业能效水效提升、资源综合利用攻坚、绿色制造典型示范为重点，培育绿色园区12个以上、绿色工厂100家以上。</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工业和信息化厅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发展改革委、生态环境厅、住房城乡建设厅、水利厅</w:t>
            </w:r>
          </w:p>
        </w:tc>
      </w:tr>
      <w:tr>
        <w:tblPrEx>
          <w:tblCellMar>
            <w:top w:w="0" w:type="dxa"/>
            <w:left w:w="0" w:type="dxa"/>
            <w:bottom w:w="0" w:type="dxa"/>
            <w:right w:w="0" w:type="dxa"/>
          </w:tblCellMar>
        </w:tblPrEx>
        <w:trPr>
          <w:gridAfter w:val="1"/>
          <w:wAfter w:w="11" w:type="dxa"/>
          <w:trHeight w:val="1097"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18</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产业技术改造攻坚行动</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textAlignment w:val="center"/>
              <w:rPr>
                <w:rFonts w:ascii="Times New Roman" w:hAnsi="Times New Roman" w:eastAsia="仿宋_GB2312"/>
                <w:szCs w:val="21"/>
              </w:rPr>
            </w:pPr>
            <w:r>
              <w:rPr>
                <w:rFonts w:ascii="Times New Roman" w:hAnsi="Times New Roman" w:eastAsia="仿宋_GB2312"/>
                <w:kern w:val="0"/>
                <w:szCs w:val="21"/>
              </w:rPr>
              <w:t>实施重点项目带动、行业对标、新产品开发、关键技术攻关、创新载体培育等行动，修订完善传统工业产业技术改造投资指导目录，每年滚动实施100个重点技术改造项目。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工业和信息化厅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发展改革委、科技厅、</w:t>
            </w:r>
          </w:p>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市场监管厅</w:t>
            </w:r>
          </w:p>
        </w:tc>
      </w:tr>
      <w:tr>
        <w:tblPrEx>
          <w:tblCellMar>
            <w:top w:w="0" w:type="dxa"/>
            <w:left w:w="0" w:type="dxa"/>
            <w:bottom w:w="0" w:type="dxa"/>
            <w:right w:w="0" w:type="dxa"/>
          </w:tblCellMar>
        </w:tblPrEx>
        <w:trPr>
          <w:gridAfter w:val="1"/>
          <w:wAfter w:w="11" w:type="dxa"/>
          <w:trHeight w:val="936"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19</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产业智能改造攻坚行动</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textAlignment w:val="center"/>
              <w:rPr>
                <w:rFonts w:ascii="Times New Roman" w:hAnsi="Times New Roman" w:eastAsia="仿宋_GB2312"/>
                <w:szCs w:val="21"/>
              </w:rPr>
            </w:pPr>
            <w:r>
              <w:rPr>
                <w:rFonts w:ascii="Times New Roman" w:hAnsi="Times New Roman" w:eastAsia="仿宋_GB2312"/>
                <w:szCs w:val="21"/>
              </w:rPr>
              <w:t>深入推</w:t>
            </w:r>
            <w:r>
              <w:rPr>
                <w:rFonts w:hint="eastAsia" w:ascii="仿宋_GB2312" w:hAnsi="仿宋_GB2312" w:eastAsia="仿宋_GB2312" w:cs="仿宋_GB2312"/>
                <w:szCs w:val="21"/>
              </w:rPr>
              <w:t>进“互联网+制造业”工</w:t>
            </w:r>
            <w:r>
              <w:rPr>
                <w:rFonts w:ascii="Times New Roman" w:hAnsi="Times New Roman" w:eastAsia="仿宋_GB2312"/>
                <w:szCs w:val="21"/>
              </w:rPr>
              <w:t>程，实施500家以上企业智能化改造，建设200个智能工厂和数字化车间，创建5个行业级智能制造标杆企业。</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工业和信息化厅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ascii="Times New Roman" w:hAnsi="Times New Roman" w:eastAsia="仿宋_GB2312"/>
                <w:kern w:val="0"/>
                <w:szCs w:val="21"/>
              </w:rPr>
              <w:t>党委网信办、发展改革委、科技厅、</w:t>
            </w:r>
            <w:r>
              <w:rPr>
                <w:rFonts w:hint="eastAsia" w:ascii="Times New Roman" w:hAnsi="Times New Roman" w:eastAsia="仿宋_GB2312"/>
                <w:kern w:val="0"/>
                <w:szCs w:val="21"/>
              </w:rPr>
              <w:t>宁夏</w:t>
            </w:r>
            <w:r>
              <w:rPr>
                <w:rFonts w:ascii="Times New Roman" w:hAnsi="Times New Roman" w:eastAsia="仿宋_GB2312"/>
                <w:kern w:val="0"/>
                <w:szCs w:val="21"/>
              </w:rPr>
              <w:t>通信管理局</w:t>
            </w:r>
          </w:p>
        </w:tc>
      </w:tr>
      <w:tr>
        <w:tblPrEx>
          <w:tblCellMar>
            <w:top w:w="0" w:type="dxa"/>
            <w:left w:w="0" w:type="dxa"/>
            <w:bottom w:w="0" w:type="dxa"/>
            <w:right w:w="0" w:type="dxa"/>
          </w:tblCellMar>
        </w:tblPrEx>
        <w:trPr>
          <w:gridAfter w:val="1"/>
          <w:wAfter w:w="11" w:type="dxa"/>
          <w:trHeight w:val="348"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b/>
                <w:bCs/>
                <w:kern w:val="0"/>
                <w:szCs w:val="21"/>
              </w:rPr>
            </w:pPr>
            <w:r>
              <w:rPr>
                <w:rFonts w:ascii="Times New Roman" w:hAnsi="Times New Roman" w:eastAsia="仿宋_GB2312"/>
                <w:b/>
                <w:bCs/>
                <w:kern w:val="0"/>
                <w:szCs w:val="21"/>
              </w:rPr>
              <w:t>四、特色优势制造业重点工程项目</w:t>
            </w:r>
          </w:p>
        </w:tc>
      </w:tr>
      <w:tr>
        <w:tblPrEx>
          <w:tblCellMar>
            <w:top w:w="0" w:type="dxa"/>
            <w:left w:w="0" w:type="dxa"/>
            <w:bottom w:w="0" w:type="dxa"/>
            <w:right w:w="0" w:type="dxa"/>
          </w:tblCellMar>
        </w:tblPrEx>
        <w:trPr>
          <w:gridAfter w:val="1"/>
          <w:wAfter w:w="11" w:type="dxa"/>
          <w:trHeight w:val="344"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20</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清洁能源产业建设项目</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spacing w:val="-6"/>
                <w:kern w:val="0"/>
                <w:szCs w:val="21"/>
              </w:rPr>
              <w:t>建设1400万千瓦光伏和450万千瓦风电项目、宁东太阳能电解制氢储能及应用示范工程；实施一批单晶电池、单晶硅棒硅片、风机装备制造、高精密传动设备、太阳能光伏轻质面板、氢能源综合利用等项目。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科技厅、工业和信息化厅</w:t>
            </w:r>
          </w:p>
        </w:tc>
      </w:tr>
      <w:tr>
        <w:tblPrEx>
          <w:tblCellMar>
            <w:top w:w="0" w:type="dxa"/>
            <w:left w:w="0" w:type="dxa"/>
            <w:bottom w:w="0" w:type="dxa"/>
            <w:right w:w="0" w:type="dxa"/>
          </w:tblCellMar>
        </w:tblPrEx>
        <w:trPr>
          <w:gridBefore w:val="1"/>
          <w:wBefore w:w="11" w:type="dxa"/>
          <w:trHeight w:val="363"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1949"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21</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新型材料产业建设项目</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以发展高性能新材料为重点，实施一批稀有金属、铝镁合金、特殊合金、高分子材料、碳基材料、高性能纤维、工业蓝宝石、石墨烯等前沿新材料产业项目，打造银川市光伏和电子信息材料、石嘴山市稀有金属、宁东基地化工新材料和高性能纤维材料三大产业集群。</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工业和信息化厅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kern w:val="0"/>
                <w:szCs w:val="21"/>
              </w:rPr>
            </w:pPr>
            <w:r>
              <w:rPr>
                <w:rFonts w:ascii="Times New Roman" w:hAnsi="Times New Roman" w:eastAsia="仿宋_GB2312"/>
                <w:kern w:val="0"/>
                <w:szCs w:val="21"/>
              </w:rPr>
              <w:t>科技厅、商务厅</w:t>
            </w:r>
            <w:r>
              <w:rPr>
                <w:rFonts w:hint="eastAsia" w:ascii="Times New Roman" w:hAnsi="Times New Roman" w:eastAsia="仿宋_GB2312"/>
                <w:kern w:val="0"/>
                <w:szCs w:val="21"/>
              </w:rPr>
              <w:t>、</w:t>
            </w:r>
          </w:p>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宁东管委会</w:t>
            </w:r>
            <w:r>
              <w:rPr>
                <w:rFonts w:hint="eastAsia" w:ascii="Times New Roman" w:hAnsi="Times New Roman" w:eastAsia="仿宋_GB2312"/>
                <w:kern w:val="0"/>
                <w:szCs w:val="21"/>
              </w:rPr>
              <w:t>、</w:t>
            </w:r>
            <w:r>
              <w:rPr>
                <w:rFonts w:ascii="Times New Roman" w:hAnsi="Times New Roman" w:eastAsia="仿宋_GB2312"/>
                <w:kern w:val="0"/>
                <w:szCs w:val="21"/>
              </w:rPr>
              <w:t>银川市、</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石嘴山市</w:t>
            </w:r>
          </w:p>
        </w:tc>
      </w:tr>
      <w:tr>
        <w:tblPrEx>
          <w:tblCellMar>
            <w:top w:w="0" w:type="dxa"/>
            <w:left w:w="0" w:type="dxa"/>
            <w:bottom w:w="0" w:type="dxa"/>
            <w:right w:w="0" w:type="dxa"/>
          </w:tblCellMar>
        </w:tblPrEx>
        <w:trPr>
          <w:gridAfter w:val="1"/>
          <w:wAfter w:w="11" w:type="dxa"/>
          <w:trHeight w:val="164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22</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绿色食品产业建设项目</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围绕粮油类、畜禽肉类、乳品类、葡萄酒类、枸杞类、果蔬类绿色食品，引进和培育国家级和自治区级绿色食品加工龙头企业，建设一批特色明显、产业集聚的绿色食品加工园区，培育一批绿色食品企业和产品品牌。</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农业农村厅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工业和信息化厅、商务厅、市场监管厅</w:t>
            </w:r>
          </w:p>
        </w:tc>
      </w:tr>
      <w:tr>
        <w:tblPrEx>
          <w:tblCellMar>
            <w:top w:w="0" w:type="dxa"/>
            <w:left w:w="0" w:type="dxa"/>
            <w:bottom w:w="0" w:type="dxa"/>
            <w:right w:w="0" w:type="dxa"/>
          </w:tblCellMar>
        </w:tblPrEx>
        <w:trPr>
          <w:gridAfter w:val="1"/>
          <w:wAfter w:w="11" w:type="dxa"/>
          <w:trHeight w:val="135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23</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现代煤化工产业建设项目</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szCs w:val="21"/>
              </w:rPr>
              <w:t>推动宁东能源化工基地与吴忠太阳山开发区一体化发展，打造千亿级煤化工产业集群，实施煤制油质量效益提升工程，实施煤基烯烃、煤制乙二醇、煤基新材料等项目。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宁东管委会</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科技厅、工业和信息化厅</w:t>
            </w:r>
            <w:r>
              <w:rPr>
                <w:rFonts w:hint="eastAsia" w:ascii="Times New Roman" w:hAnsi="Times New Roman" w:eastAsia="仿宋_GB2312"/>
                <w:kern w:val="0"/>
                <w:szCs w:val="21"/>
              </w:rPr>
              <w:t>、</w:t>
            </w:r>
            <w:r>
              <w:rPr>
                <w:rFonts w:ascii="Times New Roman" w:hAnsi="Times New Roman" w:eastAsia="仿宋_GB2312"/>
                <w:kern w:val="0"/>
                <w:szCs w:val="21"/>
              </w:rPr>
              <w:t>吴忠市</w:t>
            </w:r>
          </w:p>
        </w:tc>
      </w:tr>
      <w:tr>
        <w:tblPrEx>
          <w:tblCellMar>
            <w:top w:w="0" w:type="dxa"/>
            <w:left w:w="0" w:type="dxa"/>
            <w:bottom w:w="0" w:type="dxa"/>
            <w:right w:w="0" w:type="dxa"/>
          </w:tblCellMar>
        </w:tblPrEx>
        <w:trPr>
          <w:gridAfter w:val="1"/>
          <w:wAfter w:w="11" w:type="dxa"/>
          <w:trHeight w:val="132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24</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先进装备制造产业建设项目</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rPr>
              <w:t>推广精益制造、柔性生产和智能装备，</w:t>
            </w:r>
            <w:r>
              <w:rPr>
                <w:rFonts w:ascii="Times New Roman" w:hAnsi="Times New Roman" w:eastAsia="仿宋_GB2312"/>
                <w:kern w:val="0"/>
                <w:szCs w:val="21"/>
              </w:rPr>
              <w:t>实施智能制造产业园、特种机器人智能制造、无人机生产、数控机床、智能工业机器人生产、石墨烯大飞机轮胎及高性能子午线轮胎等项目。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工业和信息化厅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发展改革委、科技厅</w:t>
            </w:r>
          </w:p>
        </w:tc>
      </w:tr>
      <w:tr>
        <w:tblPrEx>
          <w:tblCellMar>
            <w:top w:w="0" w:type="dxa"/>
            <w:left w:w="0" w:type="dxa"/>
            <w:bottom w:w="0" w:type="dxa"/>
            <w:right w:w="0" w:type="dxa"/>
          </w:tblCellMar>
        </w:tblPrEx>
        <w:trPr>
          <w:gridAfter w:val="1"/>
          <w:wAfter w:w="11" w:type="dxa"/>
          <w:trHeight w:val="436"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b/>
                <w:bCs/>
                <w:kern w:val="0"/>
                <w:szCs w:val="21"/>
              </w:rPr>
            </w:pPr>
            <w:r>
              <w:rPr>
                <w:rFonts w:ascii="Times New Roman" w:hAnsi="Times New Roman" w:eastAsia="仿宋_GB2312"/>
                <w:b/>
                <w:bCs/>
                <w:kern w:val="0"/>
                <w:szCs w:val="21"/>
              </w:rPr>
              <w:t>五、特色优势种养业重点工程项目</w:t>
            </w:r>
          </w:p>
        </w:tc>
      </w:tr>
      <w:tr>
        <w:tblPrEx>
          <w:tblCellMar>
            <w:top w:w="0" w:type="dxa"/>
            <w:left w:w="0" w:type="dxa"/>
            <w:bottom w:w="0" w:type="dxa"/>
            <w:right w:w="0" w:type="dxa"/>
          </w:tblCellMar>
        </w:tblPrEx>
        <w:trPr>
          <w:gridAfter w:val="1"/>
          <w:wAfter w:w="11" w:type="dxa"/>
          <w:trHeight w:val="1742"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25</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贺兰山东麓葡萄酒产业长廊建设工程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新增标准化酿酒葡萄种植基地50万亩，完善葡萄园配套基础设施，建设闽宁镇葡萄酒全产业链总部聚集展示中心、张骞丝路葡萄文化产业园，建设8个葡萄酒小镇、270个酒庄，实施本土化耐寒耐旱优质酿酒葡萄新品种选育等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贺兰山东麓葡萄产业园区管委会</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发展改革委、科技厅、</w:t>
            </w:r>
          </w:p>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财政厅、自然资源厅、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住房城乡建设厅、交通运输厅、水利厅、农业农村厅、商务厅</w:t>
            </w:r>
          </w:p>
        </w:tc>
      </w:tr>
      <w:tr>
        <w:tblPrEx>
          <w:tblCellMar>
            <w:top w:w="0" w:type="dxa"/>
            <w:left w:w="0" w:type="dxa"/>
            <w:bottom w:w="0" w:type="dxa"/>
            <w:right w:w="0" w:type="dxa"/>
          </w:tblCellMar>
        </w:tblPrEx>
        <w:trPr>
          <w:gridBefore w:val="1"/>
          <w:wBefore w:w="11" w:type="dxa"/>
          <w:trHeight w:val="347"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110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26</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枸杞产业提质增效工程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新增枸杞标准化种植基地35万亩，建立育繁推一体化现代种业体系和质量认证溯源体系，</w:t>
            </w:r>
            <w:r>
              <w:rPr>
                <w:rFonts w:hint="eastAsia" w:ascii="仿宋_GB2312" w:hAnsi="仿宋_GB2312" w:eastAsia="仿宋_GB2312" w:cs="仿宋_GB2312"/>
                <w:kern w:val="0"/>
                <w:szCs w:val="21"/>
              </w:rPr>
              <w:t>提升“宁夏枸杞”和“中宁枸杞”两个区</w:t>
            </w:r>
            <w:r>
              <w:rPr>
                <w:rFonts w:ascii="Times New Roman" w:hAnsi="Times New Roman" w:eastAsia="仿宋_GB2312"/>
                <w:kern w:val="0"/>
                <w:szCs w:val="21"/>
              </w:rPr>
              <w:t>域公用品牌影响力。</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林草局</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发展改革委、科技厅、财政厅、自然资源厅、农业农村厅、商务厅、市场监管厅</w:t>
            </w:r>
          </w:p>
        </w:tc>
      </w:tr>
      <w:tr>
        <w:tblPrEx>
          <w:tblCellMar>
            <w:top w:w="0" w:type="dxa"/>
            <w:left w:w="0" w:type="dxa"/>
            <w:bottom w:w="0" w:type="dxa"/>
            <w:right w:w="0" w:type="dxa"/>
          </w:tblCellMar>
        </w:tblPrEx>
        <w:trPr>
          <w:gridAfter w:val="1"/>
          <w:wAfter w:w="11" w:type="dxa"/>
          <w:trHeight w:val="1013"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27</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优质奶源基地提质增效工程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新建奶源基地8个、规模奶牛场100个，实施标准化、智能化牧场升级改造120个，建设乳制品加工能力提升、数字奶业信息化项目等。</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农业农村厅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发展改革委、科技厅、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工业和信息化厅、财政厅、自然资源厅</w:t>
            </w:r>
          </w:p>
        </w:tc>
      </w:tr>
      <w:tr>
        <w:tblPrEx>
          <w:tblCellMar>
            <w:top w:w="0" w:type="dxa"/>
            <w:left w:w="0" w:type="dxa"/>
            <w:bottom w:w="0" w:type="dxa"/>
            <w:right w:w="0" w:type="dxa"/>
          </w:tblCellMar>
        </w:tblPrEx>
        <w:trPr>
          <w:gridAfter w:val="1"/>
          <w:wAfter w:w="11" w:type="dxa"/>
          <w:trHeight w:val="1675"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28</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现代草畜产业提质增效工程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实施农牧交错带草畜产业提升工程，建设优质饲草种植基地300万亩，升级改造标准化规模养殖场600个；实施高端肉牛、滩羊加工基地建设工程，扶持一批屠宰精深加工和冷链配送企业，建设一批品牌营销窗口。</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农业农村厅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自然资源厅、商务厅、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林草局</w:t>
            </w:r>
          </w:p>
        </w:tc>
      </w:tr>
      <w:tr>
        <w:tblPrEx>
          <w:tblCellMar>
            <w:top w:w="0" w:type="dxa"/>
            <w:left w:w="0" w:type="dxa"/>
            <w:bottom w:w="0" w:type="dxa"/>
            <w:right w:w="0" w:type="dxa"/>
          </w:tblCellMar>
        </w:tblPrEx>
        <w:trPr>
          <w:gridAfter w:val="1"/>
          <w:wAfter w:w="11" w:type="dxa"/>
          <w:trHeight w:val="1165"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29</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高品质蔬菜示范基地建设工程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建设供港有机蔬菜直供基地，建设现代化蔬菜集配中心50个、集约化蔬菜育苗中心25个，建设生物循环蔬菜示范区15万亩、蔬菜专业乡镇50个。</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农业农村厅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科技厅、财政厅、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市场监管厅</w:t>
            </w:r>
          </w:p>
        </w:tc>
      </w:tr>
      <w:tr>
        <w:tblPrEx>
          <w:tblCellMar>
            <w:top w:w="0" w:type="dxa"/>
            <w:left w:w="0" w:type="dxa"/>
            <w:bottom w:w="0" w:type="dxa"/>
            <w:right w:w="0" w:type="dxa"/>
          </w:tblCellMar>
        </w:tblPrEx>
        <w:trPr>
          <w:gridAfter w:val="1"/>
          <w:wAfter w:w="11" w:type="dxa"/>
          <w:trHeight w:val="348"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b/>
                <w:bCs/>
                <w:kern w:val="0"/>
                <w:szCs w:val="21"/>
              </w:rPr>
            </w:pPr>
            <w:r>
              <w:rPr>
                <w:rFonts w:ascii="Times New Roman" w:hAnsi="Times New Roman" w:eastAsia="仿宋_GB2312"/>
                <w:b/>
                <w:bCs/>
                <w:kern w:val="0"/>
                <w:szCs w:val="21"/>
              </w:rPr>
              <w:t>六、现代农业支撑体系建设重点工程项目</w:t>
            </w:r>
          </w:p>
        </w:tc>
      </w:tr>
      <w:tr>
        <w:tblPrEx>
          <w:tblCellMar>
            <w:top w:w="0" w:type="dxa"/>
            <w:left w:w="0" w:type="dxa"/>
            <w:bottom w:w="0" w:type="dxa"/>
            <w:right w:w="0" w:type="dxa"/>
          </w:tblCellMar>
        </w:tblPrEx>
        <w:trPr>
          <w:gridAfter w:val="1"/>
          <w:wAfter w:w="11" w:type="dxa"/>
          <w:trHeight w:val="1986"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30</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农作物全程机械化提升工程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szCs w:val="21"/>
              </w:rPr>
              <w:t>推动装备、品种、栽培及经营规模、信息化技术集成配套，实施农机深松整地、丘陵土地农田宜机化改造，创建主要农作物生产全程机械化示范县5个、设施农业和规模化养殖全过程机械化示范县5个，建设优质粮食、畜牧养殖、瓜菜等全程机械化示范园50个，培育农机作业服务公司50个。</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农业农村厅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科技厅，有关市县（区）</w:t>
            </w:r>
          </w:p>
        </w:tc>
      </w:tr>
      <w:tr>
        <w:tblPrEx>
          <w:tblCellMar>
            <w:top w:w="0" w:type="dxa"/>
            <w:left w:w="0" w:type="dxa"/>
            <w:bottom w:w="0" w:type="dxa"/>
            <w:right w:w="0" w:type="dxa"/>
          </w:tblCellMar>
        </w:tblPrEx>
        <w:trPr>
          <w:gridAfter w:val="1"/>
          <w:wAfter w:w="11" w:type="dxa"/>
          <w:trHeight w:val="103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31</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良种繁育能力提升工程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建设畜禽良种繁育基地10个，提升平罗蔬菜种子基地、盐池杂粮杂豆良种繁育基地等生产能力、育种创新能力和信息化水平。</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农业农村厅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科技厅</w:t>
            </w:r>
            <w:r>
              <w:rPr>
                <w:rFonts w:hint="eastAsia" w:ascii="Times New Roman" w:hAnsi="Times New Roman" w:eastAsia="仿宋_GB2312"/>
                <w:kern w:val="0"/>
                <w:szCs w:val="21"/>
              </w:rPr>
              <w:t>、</w:t>
            </w:r>
            <w:r>
              <w:rPr>
                <w:rFonts w:ascii="Times New Roman" w:hAnsi="Times New Roman" w:eastAsia="仿宋_GB2312"/>
                <w:kern w:val="0"/>
                <w:szCs w:val="21"/>
              </w:rPr>
              <w:t>平罗县、盐池县</w:t>
            </w:r>
          </w:p>
        </w:tc>
      </w:tr>
      <w:tr>
        <w:tblPrEx>
          <w:tblCellMar>
            <w:top w:w="0" w:type="dxa"/>
            <w:left w:w="0" w:type="dxa"/>
            <w:bottom w:w="0" w:type="dxa"/>
            <w:right w:w="0" w:type="dxa"/>
          </w:tblCellMar>
        </w:tblPrEx>
        <w:trPr>
          <w:gridBefore w:val="1"/>
          <w:wBefore w:w="11" w:type="dxa"/>
          <w:trHeight w:val="401"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1659"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32</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新型农业经营主体培育工程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szCs w:val="21"/>
              </w:rPr>
              <w:t>培育一批适</w:t>
            </w:r>
            <w:r>
              <w:rPr>
                <w:rFonts w:hint="eastAsia" w:ascii="仿宋_GB2312" w:hAnsi="仿宋_GB2312" w:eastAsia="仿宋_GB2312" w:cs="仿宋_GB2312"/>
                <w:szCs w:val="21"/>
              </w:rPr>
              <w:t>度规模经营多样、社会化服务支撑、与“互联网+”紧</w:t>
            </w:r>
            <w:r>
              <w:rPr>
                <w:rFonts w:ascii="Times New Roman" w:hAnsi="Times New Roman" w:eastAsia="仿宋_GB2312"/>
                <w:szCs w:val="21"/>
              </w:rPr>
              <w:t>密结合的各类新型经营主体，实施农村实用人才和新型职业农民培育工程，培育龙头企业400家以上、家庭农场3000家以上、农民专业合作社6000家以上。</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农业农村厅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工业和信息化厅、财政厅</w:t>
            </w:r>
          </w:p>
        </w:tc>
      </w:tr>
      <w:tr>
        <w:tblPrEx>
          <w:tblCellMar>
            <w:top w:w="0" w:type="dxa"/>
            <w:left w:w="0" w:type="dxa"/>
            <w:bottom w:w="0" w:type="dxa"/>
            <w:right w:w="0" w:type="dxa"/>
          </w:tblCellMar>
        </w:tblPrEx>
        <w:trPr>
          <w:gridAfter w:val="1"/>
          <w:wAfter w:w="11" w:type="dxa"/>
          <w:trHeight w:val="739"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33</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新型农业社会化服务体系建设工程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建设农业社会化综合服务中心22个、综合服务站300个。</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农业农村厅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财政厅</w:t>
            </w:r>
          </w:p>
        </w:tc>
      </w:tr>
      <w:tr>
        <w:tblPrEx>
          <w:tblCellMar>
            <w:top w:w="0" w:type="dxa"/>
            <w:left w:w="0" w:type="dxa"/>
            <w:bottom w:w="0" w:type="dxa"/>
            <w:right w:w="0" w:type="dxa"/>
          </w:tblCellMar>
        </w:tblPrEx>
        <w:trPr>
          <w:gridAfter w:val="1"/>
          <w:wAfter w:w="11" w:type="dxa"/>
          <w:trHeight w:val="469"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b/>
                <w:bCs/>
                <w:kern w:val="0"/>
                <w:szCs w:val="21"/>
              </w:rPr>
            </w:pPr>
            <w:r>
              <w:rPr>
                <w:rFonts w:ascii="Times New Roman" w:hAnsi="Times New Roman" w:eastAsia="仿宋_GB2312"/>
                <w:b/>
                <w:bCs/>
                <w:kern w:val="0"/>
                <w:szCs w:val="21"/>
              </w:rPr>
              <w:t>七、现代服务业重点工程项目</w:t>
            </w:r>
          </w:p>
        </w:tc>
      </w:tr>
      <w:tr>
        <w:tblPrEx>
          <w:tblCellMar>
            <w:top w:w="0" w:type="dxa"/>
            <w:left w:w="0" w:type="dxa"/>
            <w:bottom w:w="0" w:type="dxa"/>
            <w:right w:w="0" w:type="dxa"/>
          </w:tblCellMar>
        </w:tblPrEx>
        <w:trPr>
          <w:gridAfter w:val="1"/>
          <w:wAfter w:w="11" w:type="dxa"/>
          <w:trHeight w:val="164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34</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生产性服务融合发展行动</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szCs w:val="21"/>
              </w:rPr>
              <w:t>推进企业发展柔性化定制和共享生产平台，鼓励骨干企业开展咨询设计、制造采购、施工安装、运维管理等总集成总承包服务，提供远程维修、状态预警、故障诊断等在线服务，支持有条件的工业遗产和企业发展工业文化旅游。</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工业和信息化厅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发展改革委、科技厅、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文化和旅游厅</w:t>
            </w:r>
          </w:p>
        </w:tc>
      </w:tr>
      <w:tr>
        <w:tblPrEx>
          <w:tblCellMar>
            <w:top w:w="0" w:type="dxa"/>
            <w:left w:w="0" w:type="dxa"/>
            <w:bottom w:w="0" w:type="dxa"/>
            <w:right w:w="0" w:type="dxa"/>
          </w:tblCellMar>
        </w:tblPrEx>
        <w:trPr>
          <w:gridAfter w:val="1"/>
          <w:wAfter w:w="11" w:type="dxa"/>
          <w:trHeight w:val="1725"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35</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服务标准化品牌化行动</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鼓励社会团体和企业制定高于国家标准或行业标准的团体标准、企业标准，完善社区服务、物业服务、健康服务、养老服务、家政服务等领域服务标准体系，培育行业标杆和服务典范，打造一批优质服务品牌。</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市场监管厅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rPr>
                <w:rFonts w:ascii="Times New Roman" w:hAnsi="Times New Roman" w:eastAsia="仿宋_GB2312"/>
                <w:szCs w:val="21"/>
              </w:rPr>
            </w:pPr>
            <w:r>
              <w:rPr>
                <w:rFonts w:ascii="Times New Roman" w:hAnsi="Times New Roman" w:eastAsia="仿宋_GB2312"/>
                <w:szCs w:val="21"/>
              </w:rPr>
              <w:t>发展改革委、</w:t>
            </w:r>
          </w:p>
          <w:p>
            <w:pPr>
              <w:widowControl/>
              <w:jc w:val="center"/>
              <w:rPr>
                <w:rFonts w:ascii="Times New Roman" w:hAnsi="Times New Roman" w:eastAsia="仿宋_GB2312"/>
                <w:kern w:val="0"/>
                <w:szCs w:val="21"/>
              </w:rPr>
            </w:pPr>
            <w:r>
              <w:rPr>
                <w:rFonts w:ascii="Times New Roman" w:hAnsi="Times New Roman" w:eastAsia="仿宋_GB2312"/>
                <w:kern w:val="0"/>
                <w:szCs w:val="21"/>
              </w:rPr>
              <w:t>工业和信息化厅、</w:t>
            </w:r>
          </w:p>
          <w:p>
            <w:pPr>
              <w:widowControl/>
              <w:jc w:val="center"/>
              <w:rPr>
                <w:rFonts w:ascii="Times New Roman" w:hAnsi="Times New Roman" w:eastAsia="仿宋_GB2312"/>
                <w:szCs w:val="21"/>
              </w:rPr>
            </w:pPr>
            <w:r>
              <w:rPr>
                <w:rFonts w:ascii="Times New Roman" w:hAnsi="Times New Roman" w:eastAsia="仿宋_GB2312"/>
                <w:kern w:val="0"/>
                <w:szCs w:val="21"/>
              </w:rPr>
              <w:t>民政厅、商务厅</w:t>
            </w:r>
          </w:p>
        </w:tc>
      </w:tr>
      <w:tr>
        <w:tblPrEx>
          <w:tblCellMar>
            <w:top w:w="0" w:type="dxa"/>
            <w:left w:w="0" w:type="dxa"/>
            <w:bottom w:w="0" w:type="dxa"/>
            <w:right w:w="0" w:type="dxa"/>
          </w:tblCellMar>
        </w:tblPrEx>
        <w:trPr>
          <w:gridAfter w:val="1"/>
          <w:wAfter w:w="11" w:type="dxa"/>
          <w:trHeight w:val="2069"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36</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会展经济培育行动</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提升贺兰山东麓国际葡萄酒博览会、宁夏国际现代农业科技博览会、中国西部（银川）房车生活文化节、银川（国际）奶业暨农牧机械展览会、中卫云天大会、固原冷凉蔬菜节等现有品牌展会数字化水平，扩大办会规模和影响力，引进中国肉类产业博览会等适应优势特色产业发展的展会活动。</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商务厅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科技厅、农业农村厅、</w:t>
            </w:r>
          </w:p>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博览局、贺兰山东麓葡萄产业园区管委会</w:t>
            </w:r>
            <w:r>
              <w:rPr>
                <w:rFonts w:hint="eastAsia" w:ascii="Times New Roman" w:hAnsi="Times New Roman" w:eastAsia="仿宋_GB2312"/>
                <w:kern w:val="0"/>
                <w:szCs w:val="21"/>
              </w:rPr>
              <w:t>、</w:t>
            </w:r>
            <w:r>
              <w:rPr>
                <w:rFonts w:ascii="Times New Roman" w:hAnsi="Times New Roman" w:eastAsia="仿宋_GB2312"/>
                <w:kern w:val="0"/>
                <w:szCs w:val="21"/>
              </w:rPr>
              <w:t>固原市、</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中卫市</w:t>
            </w:r>
          </w:p>
        </w:tc>
      </w:tr>
      <w:tr>
        <w:tblPrEx>
          <w:tblCellMar>
            <w:top w:w="0" w:type="dxa"/>
            <w:left w:w="0" w:type="dxa"/>
            <w:bottom w:w="0" w:type="dxa"/>
            <w:right w:w="0" w:type="dxa"/>
          </w:tblCellMar>
        </w:tblPrEx>
        <w:trPr>
          <w:gridBefore w:val="1"/>
          <w:wBefore w:w="11" w:type="dxa"/>
          <w:trHeight w:val="409"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1292"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37</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养老托育服务提升行动</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建设一批绿色智慧养老、医养结合养老、生态养生养老等项目，支持社会资本开办托育服务机构，实施银川宝丰健康养老、桃园城企联动社区养老、六盘山生态康养城等项目。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民政厅、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卫生健康委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jc w:val="center"/>
              <w:rPr>
                <w:rFonts w:ascii="Times New Roman" w:hAnsi="Times New Roman" w:eastAsia="仿宋_GB2312"/>
                <w:szCs w:val="21"/>
              </w:rPr>
            </w:pPr>
            <w:r>
              <w:rPr>
                <w:rFonts w:ascii="Times New Roman" w:hAnsi="Times New Roman" w:eastAsia="仿宋_GB2312"/>
                <w:szCs w:val="21"/>
              </w:rPr>
              <w:t>发展改革委、财政厅、</w:t>
            </w:r>
          </w:p>
          <w:p>
            <w:pPr>
              <w:jc w:val="center"/>
              <w:rPr>
                <w:rFonts w:ascii="Times New Roman" w:hAnsi="Times New Roman" w:eastAsia="仿宋_GB2312"/>
                <w:szCs w:val="21"/>
              </w:rPr>
            </w:pPr>
            <w:r>
              <w:rPr>
                <w:rFonts w:ascii="Times New Roman" w:hAnsi="Times New Roman" w:eastAsia="仿宋_GB2312"/>
                <w:szCs w:val="21"/>
              </w:rPr>
              <w:t>住房城乡建设厅</w:t>
            </w:r>
          </w:p>
        </w:tc>
      </w:tr>
      <w:tr>
        <w:tblPrEx>
          <w:tblCellMar>
            <w:top w:w="0" w:type="dxa"/>
            <w:left w:w="0" w:type="dxa"/>
            <w:bottom w:w="0" w:type="dxa"/>
            <w:right w:w="0" w:type="dxa"/>
          </w:tblCellMar>
        </w:tblPrEx>
        <w:trPr>
          <w:gridAfter w:val="1"/>
          <w:wAfter w:w="11" w:type="dxa"/>
          <w:trHeight w:val="101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4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38</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40" w:lineRule="exact"/>
              <w:jc w:val="left"/>
              <w:textAlignment w:val="center"/>
              <w:rPr>
                <w:rFonts w:ascii="Times New Roman" w:hAnsi="Times New Roman" w:eastAsia="仿宋_GB2312"/>
                <w:szCs w:val="21"/>
              </w:rPr>
            </w:pPr>
            <w:r>
              <w:rPr>
                <w:rFonts w:ascii="Times New Roman" w:hAnsi="Times New Roman" w:eastAsia="仿宋_GB2312"/>
                <w:kern w:val="0"/>
                <w:szCs w:val="21"/>
              </w:rPr>
              <w:t>现代服务业集聚区培育工程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textAlignment w:val="center"/>
              <w:rPr>
                <w:rFonts w:ascii="Times New Roman" w:hAnsi="Times New Roman" w:eastAsia="仿宋_GB2312"/>
                <w:szCs w:val="21"/>
              </w:rPr>
            </w:pPr>
            <w:r>
              <w:rPr>
                <w:rFonts w:ascii="Times New Roman" w:hAnsi="Times New Roman" w:eastAsia="仿宋_GB2312"/>
                <w:kern w:val="0"/>
                <w:szCs w:val="21"/>
              </w:rPr>
              <w:t>围绕提升制度创新能力、核心产业竞争力和市场主体集聚能力，重点在信息服务、科技服务、现代物流、文化旅游、健康产业等领域，培育建设10</w:t>
            </w:r>
            <w:r>
              <w:rPr>
                <w:rFonts w:hint="eastAsia" w:ascii="Times New Roman" w:hAnsi="Times New Roman" w:eastAsia="仿宋_GB2312"/>
                <w:kern w:val="0"/>
                <w:szCs w:val="21"/>
              </w:rPr>
              <w:t>—</w:t>
            </w:r>
            <w:r>
              <w:rPr>
                <w:rFonts w:ascii="Times New Roman" w:hAnsi="Times New Roman" w:eastAsia="仿宋_GB2312"/>
                <w:kern w:val="0"/>
                <w:szCs w:val="21"/>
              </w:rPr>
              <w:t>15个现代服务业功能区和集聚区。</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jc w:val="center"/>
              <w:textAlignment w:val="center"/>
              <w:rPr>
                <w:rFonts w:ascii="Times New Roman" w:hAnsi="Times New Roman" w:eastAsia="仿宋_GB2312"/>
                <w:szCs w:val="21"/>
              </w:rPr>
            </w:pPr>
            <w:r>
              <w:rPr>
                <w:rFonts w:ascii="Times New Roman" w:hAnsi="Times New Roman" w:eastAsia="仿宋_GB2312"/>
                <w:kern w:val="0"/>
                <w:szCs w:val="21"/>
              </w:rPr>
              <w:t>发展改革委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spacing w:line="340" w:lineRule="exact"/>
              <w:jc w:val="center"/>
              <w:rPr>
                <w:rFonts w:ascii="Times New Roman" w:hAnsi="Times New Roman" w:eastAsia="仿宋_GB2312"/>
                <w:szCs w:val="21"/>
              </w:rPr>
            </w:pPr>
            <w:r>
              <w:rPr>
                <w:rFonts w:ascii="Times New Roman" w:hAnsi="Times New Roman" w:eastAsia="仿宋_GB2312"/>
                <w:szCs w:val="21"/>
              </w:rPr>
              <w:t>科技厅、</w:t>
            </w:r>
            <w:r>
              <w:rPr>
                <w:rFonts w:ascii="Times New Roman" w:hAnsi="Times New Roman" w:eastAsia="仿宋_GB2312"/>
                <w:kern w:val="0"/>
                <w:szCs w:val="21"/>
              </w:rPr>
              <w:t>工业和信息化厅、</w:t>
            </w:r>
            <w:r>
              <w:rPr>
                <w:rFonts w:ascii="Times New Roman" w:hAnsi="Times New Roman" w:eastAsia="仿宋_GB2312"/>
                <w:szCs w:val="21"/>
              </w:rPr>
              <w:t>商务厅、卫生健康委、文化和旅游厅，</w:t>
            </w:r>
            <w:r>
              <w:rPr>
                <w:rFonts w:ascii="Times New Roman" w:hAnsi="Times New Roman" w:eastAsia="仿宋_GB2312"/>
                <w:kern w:val="0"/>
                <w:szCs w:val="21"/>
              </w:rPr>
              <w:t>有关市县（区）</w:t>
            </w:r>
          </w:p>
        </w:tc>
      </w:tr>
      <w:tr>
        <w:tblPrEx>
          <w:tblCellMar>
            <w:top w:w="0" w:type="dxa"/>
            <w:left w:w="0" w:type="dxa"/>
            <w:bottom w:w="0" w:type="dxa"/>
            <w:right w:w="0" w:type="dxa"/>
          </w:tblCellMar>
        </w:tblPrEx>
        <w:trPr>
          <w:gridAfter w:val="1"/>
          <w:wAfter w:w="11" w:type="dxa"/>
          <w:trHeight w:val="348"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40" w:lineRule="exact"/>
              <w:jc w:val="left"/>
              <w:textAlignment w:val="center"/>
              <w:rPr>
                <w:rFonts w:ascii="Times New Roman" w:hAnsi="Times New Roman" w:eastAsia="仿宋_GB2312"/>
                <w:b/>
                <w:bCs/>
                <w:kern w:val="0"/>
                <w:szCs w:val="21"/>
              </w:rPr>
            </w:pPr>
            <w:r>
              <w:rPr>
                <w:rFonts w:ascii="Times New Roman" w:hAnsi="Times New Roman" w:eastAsia="仿宋_GB2312"/>
                <w:b/>
                <w:bCs/>
                <w:kern w:val="0"/>
                <w:szCs w:val="21"/>
              </w:rPr>
              <w:t>八、数字化发展重点工程项目</w:t>
            </w:r>
          </w:p>
        </w:tc>
      </w:tr>
      <w:tr>
        <w:tblPrEx>
          <w:tblCellMar>
            <w:top w:w="0" w:type="dxa"/>
            <w:left w:w="0" w:type="dxa"/>
            <w:bottom w:w="0" w:type="dxa"/>
            <w:right w:w="0" w:type="dxa"/>
          </w:tblCellMar>
        </w:tblPrEx>
        <w:trPr>
          <w:gridAfter w:val="1"/>
          <w:wAfter w:w="11" w:type="dxa"/>
          <w:trHeight w:val="1244"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4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39</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40" w:lineRule="exact"/>
              <w:jc w:val="left"/>
              <w:textAlignment w:val="center"/>
              <w:rPr>
                <w:rFonts w:ascii="Times New Roman" w:hAnsi="Times New Roman" w:eastAsia="仿宋_GB2312"/>
                <w:szCs w:val="21"/>
              </w:rPr>
            </w:pPr>
            <w:r>
              <w:rPr>
                <w:rFonts w:ascii="Times New Roman" w:hAnsi="Times New Roman" w:eastAsia="仿宋_GB2312"/>
                <w:kern w:val="0"/>
                <w:szCs w:val="21"/>
              </w:rPr>
              <w:t>电子信息制造业</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textAlignment w:val="center"/>
              <w:rPr>
                <w:rFonts w:ascii="Times New Roman" w:hAnsi="Times New Roman" w:eastAsia="仿宋_GB2312"/>
                <w:szCs w:val="21"/>
              </w:rPr>
            </w:pPr>
            <w:r>
              <w:rPr>
                <w:rFonts w:ascii="Times New Roman" w:hAnsi="Times New Roman" w:eastAsia="仿宋_GB2312"/>
                <w:kern w:val="0"/>
                <w:szCs w:val="21"/>
              </w:rPr>
              <w:t>实施银川经济技术开发区智能终端产业园，实施工业蓝宝石、半导体集成电路、氮化铝陶瓷基片及元器件、新能源锂电池、智能电子产品、新一代纳微孔结构铝电极箔、柔性线路板精密电子、高清摄像头及芯片等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jc w:val="center"/>
              <w:textAlignment w:val="center"/>
              <w:rPr>
                <w:rFonts w:ascii="Times New Roman" w:hAnsi="Times New Roman" w:eastAsia="仿宋_GB2312"/>
                <w:szCs w:val="21"/>
              </w:rPr>
            </w:pPr>
            <w:r>
              <w:rPr>
                <w:rFonts w:ascii="Times New Roman" w:hAnsi="Times New Roman" w:eastAsia="仿宋_GB2312"/>
                <w:kern w:val="0"/>
                <w:szCs w:val="21"/>
              </w:rPr>
              <w:t>工业和信息化厅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jc w:val="center"/>
              <w:textAlignment w:val="center"/>
              <w:rPr>
                <w:rFonts w:ascii="Times New Roman" w:hAnsi="Times New Roman" w:eastAsia="仿宋_GB2312"/>
                <w:szCs w:val="21"/>
              </w:rPr>
            </w:pPr>
            <w:r>
              <w:rPr>
                <w:rFonts w:ascii="Times New Roman" w:hAnsi="Times New Roman" w:eastAsia="仿宋_GB2312"/>
                <w:kern w:val="0"/>
                <w:szCs w:val="21"/>
              </w:rPr>
              <w:t>发展改革委、科技厅</w:t>
            </w:r>
            <w:r>
              <w:rPr>
                <w:rFonts w:ascii="Times New Roman" w:hAnsi="Times New Roman" w:eastAsia="仿宋_GB2312"/>
                <w:szCs w:val="21"/>
              </w:rPr>
              <w:t>，</w:t>
            </w:r>
          </w:p>
          <w:p>
            <w:pPr>
              <w:widowControl/>
              <w:spacing w:line="340" w:lineRule="exact"/>
              <w:jc w:val="center"/>
              <w:textAlignment w:val="center"/>
              <w:rPr>
                <w:rFonts w:ascii="Times New Roman" w:hAnsi="Times New Roman" w:eastAsia="仿宋_GB2312"/>
                <w:szCs w:val="21"/>
              </w:rPr>
            </w:pPr>
            <w:r>
              <w:rPr>
                <w:rFonts w:ascii="Times New Roman" w:hAnsi="Times New Roman" w:eastAsia="仿宋_GB2312"/>
                <w:kern w:val="0"/>
                <w:szCs w:val="21"/>
              </w:rPr>
              <w:t>有关市县（区）</w:t>
            </w:r>
          </w:p>
        </w:tc>
      </w:tr>
      <w:tr>
        <w:tblPrEx>
          <w:tblCellMar>
            <w:top w:w="0" w:type="dxa"/>
            <w:left w:w="0" w:type="dxa"/>
            <w:bottom w:w="0" w:type="dxa"/>
            <w:right w:w="0" w:type="dxa"/>
          </w:tblCellMar>
        </w:tblPrEx>
        <w:trPr>
          <w:gridAfter w:val="1"/>
          <w:wAfter w:w="11" w:type="dxa"/>
          <w:trHeight w:val="1202"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4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40</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40" w:lineRule="exact"/>
              <w:jc w:val="left"/>
              <w:textAlignment w:val="center"/>
              <w:rPr>
                <w:rFonts w:ascii="Times New Roman" w:hAnsi="Times New Roman" w:eastAsia="仿宋_GB2312"/>
                <w:szCs w:val="21"/>
              </w:rPr>
            </w:pPr>
            <w:r>
              <w:rPr>
                <w:rFonts w:ascii="Times New Roman" w:hAnsi="Times New Roman" w:eastAsia="仿宋_GB2312"/>
                <w:kern w:val="0"/>
                <w:szCs w:val="21"/>
              </w:rPr>
              <w:t>制造业数字化应用工程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textAlignment w:val="center"/>
              <w:rPr>
                <w:rFonts w:ascii="Times New Roman" w:hAnsi="Times New Roman" w:eastAsia="仿宋_GB2312"/>
                <w:szCs w:val="21"/>
              </w:rPr>
            </w:pPr>
            <w:r>
              <w:rPr>
                <w:rFonts w:ascii="Times New Roman" w:hAnsi="Times New Roman" w:eastAsia="仿宋_GB2312"/>
                <w:kern w:val="0"/>
                <w:szCs w:val="21"/>
              </w:rPr>
              <w:t>实施宁夏工业互联网标识解析二级节点平台、工业3D打印核心软件开发、工业APP服务平台、共享工业云等项目；建设园区在线综合服务平台，推进22个工业园区智能化改造；支持基础条件好的企业建设自动化生产线和智能化管理系统。</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jc w:val="center"/>
              <w:textAlignment w:val="center"/>
              <w:rPr>
                <w:rFonts w:ascii="Times New Roman" w:hAnsi="Times New Roman" w:eastAsia="仿宋_GB2312"/>
                <w:szCs w:val="21"/>
              </w:rPr>
            </w:pPr>
            <w:r>
              <w:rPr>
                <w:rFonts w:ascii="Times New Roman" w:hAnsi="Times New Roman" w:eastAsia="仿宋_GB2312"/>
                <w:kern w:val="0"/>
                <w:szCs w:val="21"/>
              </w:rPr>
              <w:t>工业和信息化厅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jc w:val="center"/>
              <w:textAlignment w:val="center"/>
              <w:rPr>
                <w:rFonts w:ascii="Times New Roman" w:hAnsi="Times New Roman" w:eastAsia="仿宋_GB2312"/>
                <w:szCs w:val="21"/>
              </w:rPr>
            </w:pPr>
            <w:r>
              <w:rPr>
                <w:rFonts w:ascii="Times New Roman" w:hAnsi="Times New Roman" w:eastAsia="仿宋_GB2312"/>
                <w:kern w:val="0"/>
                <w:szCs w:val="21"/>
              </w:rPr>
              <w:t>发展改革委、科技厅</w:t>
            </w:r>
          </w:p>
        </w:tc>
      </w:tr>
      <w:tr>
        <w:tblPrEx>
          <w:tblCellMar>
            <w:top w:w="0" w:type="dxa"/>
            <w:left w:w="0" w:type="dxa"/>
            <w:bottom w:w="0" w:type="dxa"/>
            <w:right w:w="0" w:type="dxa"/>
          </w:tblCellMar>
        </w:tblPrEx>
        <w:trPr>
          <w:gridAfter w:val="1"/>
          <w:wAfter w:w="11" w:type="dxa"/>
          <w:trHeight w:val="1782"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4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41</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40" w:lineRule="exact"/>
              <w:jc w:val="left"/>
              <w:textAlignment w:val="center"/>
              <w:rPr>
                <w:rFonts w:ascii="Times New Roman" w:hAnsi="Times New Roman" w:eastAsia="仿宋_GB2312"/>
                <w:szCs w:val="21"/>
              </w:rPr>
            </w:pPr>
            <w:r>
              <w:rPr>
                <w:rFonts w:ascii="Times New Roman" w:hAnsi="Times New Roman" w:eastAsia="仿宋_GB2312"/>
                <w:kern w:val="0"/>
                <w:szCs w:val="21"/>
              </w:rPr>
              <w:t>智慧农业建设工程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textAlignment w:val="center"/>
              <w:rPr>
                <w:rFonts w:ascii="Times New Roman" w:hAnsi="Times New Roman" w:eastAsia="仿宋_GB2312"/>
                <w:szCs w:val="21"/>
              </w:rPr>
            </w:pPr>
            <w:r>
              <w:rPr>
                <w:rFonts w:ascii="Times New Roman" w:hAnsi="Times New Roman" w:eastAsia="仿宋_GB2312"/>
                <w:spacing w:val="-6"/>
                <w:kern w:val="0"/>
                <w:szCs w:val="21"/>
              </w:rPr>
              <w:t>建设农业大数据应用平台，建设覆盖全区的农业气象灾害监测预警和农作物病虫害预警防护体系、数字化农情监测体系、大田数字化管理系统；实施农业物联网技术应用示范项目，建设一批数字化现代农业示范园区和数字农业应用推广基地；建设数字乡村示范县5个、村级益农信息社800个；建</w:t>
            </w:r>
            <w:r>
              <w:rPr>
                <w:rFonts w:hint="eastAsia" w:ascii="仿宋_GB2312" w:hAnsi="仿宋_GB2312" w:eastAsia="仿宋_GB2312" w:cs="仿宋_GB2312"/>
                <w:spacing w:val="-6"/>
                <w:kern w:val="0"/>
                <w:szCs w:val="21"/>
              </w:rPr>
              <w:t>设“数字供销”项</w:t>
            </w:r>
            <w:r>
              <w:rPr>
                <w:rFonts w:ascii="Times New Roman" w:hAnsi="Times New Roman" w:eastAsia="仿宋_GB2312"/>
                <w:spacing w:val="-6"/>
                <w:kern w:val="0"/>
                <w:szCs w:val="21"/>
              </w:rPr>
              <w:t>目</w:t>
            </w:r>
            <w:r>
              <w:rPr>
                <w:rFonts w:ascii="Times New Roman" w:hAnsi="Times New Roman" w:eastAsia="仿宋_GB2312"/>
                <w:kern w:val="0"/>
                <w:szCs w:val="21"/>
              </w:rPr>
              <w:t>。</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jc w:val="center"/>
              <w:textAlignment w:val="center"/>
              <w:rPr>
                <w:rFonts w:ascii="Times New Roman" w:hAnsi="Times New Roman" w:eastAsia="仿宋_GB2312"/>
                <w:szCs w:val="21"/>
              </w:rPr>
            </w:pPr>
            <w:r>
              <w:rPr>
                <w:rFonts w:ascii="Times New Roman" w:hAnsi="Times New Roman" w:eastAsia="仿宋_GB2312"/>
                <w:kern w:val="0"/>
                <w:szCs w:val="21"/>
              </w:rPr>
              <w:t>农业农村厅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jc w:val="center"/>
              <w:textAlignment w:val="center"/>
              <w:rPr>
                <w:rFonts w:ascii="Times New Roman" w:hAnsi="Times New Roman" w:eastAsia="仿宋_GB2312"/>
                <w:szCs w:val="21"/>
              </w:rPr>
            </w:pPr>
            <w:r>
              <w:rPr>
                <w:rFonts w:ascii="Times New Roman" w:hAnsi="Times New Roman" w:eastAsia="仿宋_GB2312"/>
                <w:kern w:val="0"/>
                <w:szCs w:val="21"/>
              </w:rPr>
              <w:t>科技厅、财政厅、商务厅、供销社</w:t>
            </w:r>
            <w:r>
              <w:rPr>
                <w:rFonts w:hint="eastAsia" w:ascii="Times New Roman" w:hAnsi="Times New Roman" w:eastAsia="仿宋_GB2312"/>
                <w:kern w:val="0"/>
                <w:szCs w:val="21"/>
              </w:rPr>
              <w:t>、宁夏</w:t>
            </w:r>
            <w:r>
              <w:rPr>
                <w:rFonts w:ascii="Times New Roman" w:hAnsi="Times New Roman" w:eastAsia="仿宋_GB2312"/>
                <w:kern w:val="0"/>
                <w:szCs w:val="21"/>
              </w:rPr>
              <w:t>气象局</w:t>
            </w:r>
          </w:p>
        </w:tc>
      </w:tr>
      <w:tr>
        <w:tblPrEx>
          <w:tblCellMar>
            <w:top w:w="0" w:type="dxa"/>
            <w:left w:w="0" w:type="dxa"/>
            <w:bottom w:w="0" w:type="dxa"/>
            <w:right w:w="0" w:type="dxa"/>
          </w:tblCellMar>
        </w:tblPrEx>
        <w:trPr>
          <w:gridBefore w:val="1"/>
          <w:wBefore w:w="11" w:type="dxa"/>
          <w:trHeight w:val="389"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9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4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42</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40" w:lineRule="exact"/>
              <w:jc w:val="left"/>
              <w:textAlignment w:val="center"/>
              <w:rPr>
                <w:rFonts w:ascii="Times New Roman" w:hAnsi="Times New Roman" w:eastAsia="仿宋_GB2312"/>
                <w:szCs w:val="21"/>
              </w:rPr>
            </w:pPr>
            <w:r>
              <w:rPr>
                <w:rFonts w:ascii="Times New Roman" w:hAnsi="Times New Roman" w:eastAsia="仿宋_GB2312"/>
                <w:kern w:val="0"/>
                <w:szCs w:val="21"/>
              </w:rPr>
              <w:t>场景应用建设工程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textAlignment w:val="center"/>
              <w:rPr>
                <w:rFonts w:ascii="Times New Roman" w:hAnsi="Times New Roman" w:eastAsia="仿宋_GB2312"/>
                <w:szCs w:val="21"/>
              </w:rPr>
            </w:pPr>
            <w:r>
              <w:rPr>
                <w:rFonts w:ascii="Times New Roman" w:hAnsi="Times New Roman" w:eastAsia="仿宋_GB2312"/>
                <w:kern w:val="0"/>
                <w:szCs w:val="21"/>
              </w:rPr>
              <w:t>重点在特色农业、文化旅游、城市治理、民生服务等领域，推进应用项目持续运维和迭代升级，培育10个标杆应用场景、100个示范应用场景、1000个成熟应用场景。</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jc w:val="center"/>
              <w:textAlignment w:val="center"/>
              <w:rPr>
                <w:rFonts w:ascii="Times New Roman" w:hAnsi="Times New Roman" w:eastAsia="仿宋_GB2312"/>
                <w:szCs w:val="21"/>
              </w:rPr>
            </w:pPr>
            <w:r>
              <w:rPr>
                <w:rFonts w:ascii="Times New Roman" w:hAnsi="Times New Roman" w:eastAsia="仿宋_GB2312"/>
                <w:kern w:val="0"/>
                <w:szCs w:val="21"/>
              </w:rPr>
              <w:t>工业和信息化厅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发展改革委、科技厅、教育厅、住房城乡建设厅、农业农村厅、文化和旅游厅、</w:t>
            </w:r>
          </w:p>
          <w:p>
            <w:pPr>
              <w:widowControl/>
              <w:spacing w:line="340" w:lineRule="exact"/>
              <w:jc w:val="center"/>
              <w:textAlignment w:val="center"/>
              <w:rPr>
                <w:rFonts w:ascii="Times New Roman" w:hAnsi="Times New Roman" w:eastAsia="仿宋_GB2312"/>
                <w:szCs w:val="21"/>
              </w:rPr>
            </w:pPr>
            <w:r>
              <w:rPr>
                <w:rFonts w:ascii="Times New Roman" w:hAnsi="Times New Roman" w:eastAsia="仿宋_GB2312"/>
                <w:kern w:val="0"/>
                <w:szCs w:val="21"/>
              </w:rPr>
              <w:t>卫生健康委</w:t>
            </w:r>
          </w:p>
        </w:tc>
      </w:tr>
      <w:tr>
        <w:tblPrEx>
          <w:tblCellMar>
            <w:top w:w="0" w:type="dxa"/>
            <w:left w:w="0" w:type="dxa"/>
            <w:bottom w:w="0" w:type="dxa"/>
            <w:right w:w="0" w:type="dxa"/>
          </w:tblCellMar>
        </w:tblPrEx>
        <w:trPr>
          <w:gridAfter w:val="1"/>
          <w:wAfter w:w="11" w:type="dxa"/>
          <w:trHeight w:val="24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43</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数字政府建设工程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szCs w:val="21"/>
              </w:rPr>
              <w:t>围绕建成纵向贯通、横向协同、上接国家、覆盖全区的总体目标，</w:t>
            </w:r>
            <w:r>
              <w:rPr>
                <w:rFonts w:ascii="Times New Roman" w:hAnsi="Times New Roman" w:eastAsia="仿宋_GB2312"/>
                <w:kern w:val="0"/>
                <w:szCs w:val="21"/>
              </w:rPr>
              <w:t>建设统一政务数据中心，实施业务应用体系、数据资源体系、网上服务体系、网上监管体系、协同办公体系、安全防护体系等一体化建设项目。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政府办公厅、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党委网信办</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发展改革委、公安厅</w:t>
            </w:r>
          </w:p>
        </w:tc>
      </w:tr>
      <w:tr>
        <w:tblPrEx>
          <w:tblCellMar>
            <w:top w:w="0" w:type="dxa"/>
            <w:left w:w="0" w:type="dxa"/>
            <w:bottom w:w="0" w:type="dxa"/>
            <w:right w:w="0" w:type="dxa"/>
          </w:tblCellMar>
        </w:tblPrEx>
        <w:trPr>
          <w:gridAfter w:val="1"/>
          <w:wAfter w:w="11" w:type="dxa"/>
          <w:trHeight w:val="32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44</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“数字城市”建设工程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利用5G、物联网等新一代信息技术，建设城市信息模型平台，推进城市电力、燃气、交通、水务、热力等公用基础设施智能化改造，完善出行信息服务、公共交通、综合客运枢纽、综合运行协调指挥等智能系统。</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住房城乡建设厅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党委网信办、发展改革委、科技厅、工业和信息化厅、交通运输厅、水利厅，有关市县（区）</w:t>
            </w:r>
          </w:p>
        </w:tc>
      </w:tr>
      <w:tr>
        <w:tblPrEx>
          <w:tblCellMar>
            <w:top w:w="0" w:type="dxa"/>
            <w:left w:w="0" w:type="dxa"/>
            <w:bottom w:w="0" w:type="dxa"/>
            <w:right w:w="0" w:type="dxa"/>
          </w:tblCellMar>
        </w:tblPrEx>
        <w:trPr>
          <w:gridAfter w:val="1"/>
          <w:wAfter w:w="11" w:type="dxa"/>
          <w:trHeight w:val="348"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b/>
                <w:bCs/>
                <w:kern w:val="0"/>
                <w:szCs w:val="21"/>
              </w:rPr>
            </w:pPr>
            <w:r>
              <w:rPr>
                <w:rFonts w:ascii="Times New Roman" w:hAnsi="Times New Roman" w:eastAsia="仿宋_GB2312"/>
                <w:b/>
                <w:bCs/>
                <w:kern w:val="0"/>
                <w:szCs w:val="21"/>
              </w:rPr>
              <w:t>九、综合交通运输重点工程项目</w:t>
            </w:r>
          </w:p>
        </w:tc>
      </w:tr>
      <w:tr>
        <w:tblPrEx>
          <w:tblCellMar>
            <w:top w:w="0" w:type="dxa"/>
            <w:left w:w="0" w:type="dxa"/>
            <w:bottom w:w="0" w:type="dxa"/>
            <w:right w:w="0" w:type="dxa"/>
          </w:tblCellMar>
        </w:tblPrEx>
        <w:trPr>
          <w:gridAfter w:val="1"/>
          <w:wAfter w:w="11" w:type="dxa"/>
          <w:trHeight w:val="57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45</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高速铁路</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建成包银高铁银川至惠农南段、包银高铁包头至惠农南段及银巴支线、中卫至兰州高铁等。</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财政厅、自然资源厅、生态环境厅</w:t>
            </w:r>
            <w:r>
              <w:rPr>
                <w:rFonts w:hint="eastAsia" w:ascii="Times New Roman" w:hAnsi="Times New Roman" w:eastAsia="仿宋_GB2312"/>
                <w:kern w:val="0"/>
                <w:szCs w:val="21"/>
              </w:rPr>
              <w:t>、</w:t>
            </w:r>
            <w:r>
              <w:rPr>
                <w:rFonts w:ascii="Times New Roman" w:hAnsi="Times New Roman" w:eastAsia="仿宋_GB2312"/>
                <w:kern w:val="0"/>
                <w:szCs w:val="21"/>
              </w:rPr>
              <w:t>国有资本运营集团，有关市县（区）</w:t>
            </w:r>
          </w:p>
        </w:tc>
      </w:tr>
      <w:tr>
        <w:tblPrEx>
          <w:tblCellMar>
            <w:top w:w="0" w:type="dxa"/>
            <w:left w:w="0" w:type="dxa"/>
            <w:bottom w:w="0" w:type="dxa"/>
            <w:right w:w="0" w:type="dxa"/>
          </w:tblCellMar>
        </w:tblPrEx>
        <w:trPr>
          <w:gridAfter w:val="1"/>
          <w:wAfter w:w="11" w:type="dxa"/>
          <w:trHeight w:val="105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46</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普速铁路</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实施宝中线中卫经平凉至庆阳铁路扩能改造工程，争取开工建设包兰铁路银川至黄羊湾段扩能改造、太中银中卫至定边扩能改造工程，推进定西经固原至平凉至庆阳铁路前期工作。</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财政厅、自然资源厅、生态环境厅</w:t>
            </w:r>
            <w:r>
              <w:rPr>
                <w:rFonts w:hint="eastAsia" w:ascii="Times New Roman" w:hAnsi="Times New Roman" w:eastAsia="仿宋_GB2312"/>
                <w:kern w:val="0"/>
                <w:szCs w:val="21"/>
              </w:rPr>
              <w:t>、</w:t>
            </w:r>
            <w:r>
              <w:rPr>
                <w:rFonts w:ascii="Times New Roman" w:hAnsi="Times New Roman" w:eastAsia="仿宋_GB2312"/>
                <w:kern w:val="0"/>
                <w:szCs w:val="21"/>
              </w:rPr>
              <w:t>国有资本运营</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集团，有关市县（区）</w:t>
            </w:r>
          </w:p>
        </w:tc>
      </w:tr>
      <w:tr>
        <w:tblPrEx>
          <w:tblCellMar>
            <w:top w:w="0" w:type="dxa"/>
            <w:left w:w="0" w:type="dxa"/>
            <w:bottom w:w="0" w:type="dxa"/>
            <w:right w:w="0" w:type="dxa"/>
          </w:tblCellMar>
        </w:tblPrEx>
        <w:trPr>
          <w:gridAfter w:val="1"/>
          <w:wAfter w:w="11" w:type="dxa"/>
          <w:trHeight w:val="1382"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47</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铁路专用线</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spacing w:val="-6"/>
                <w:kern w:val="0"/>
                <w:szCs w:val="21"/>
              </w:rPr>
              <w:t>推进铁路专用线进厂进园进企，建设宁夏钢铁集团中卫热电铁路专用线、银川国际公铁物流港铁路专用线、灵武临港产业园铁路专用线、东乌铁路惠农连接线、固原新材料工业园区专用线等13条铁路专用线。</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财政厅、自然资源厅、生态环境厅，有关市县（区）</w:t>
            </w:r>
          </w:p>
        </w:tc>
      </w:tr>
      <w:tr>
        <w:tblPrEx>
          <w:tblCellMar>
            <w:top w:w="0" w:type="dxa"/>
            <w:left w:w="0" w:type="dxa"/>
            <w:bottom w:w="0" w:type="dxa"/>
            <w:right w:w="0" w:type="dxa"/>
          </w:tblCellMar>
        </w:tblPrEx>
        <w:trPr>
          <w:gridBefore w:val="1"/>
          <w:wBefore w:w="11" w:type="dxa"/>
          <w:trHeight w:val="393"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85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48</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高速公路</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spacing w:val="6"/>
                <w:kern w:val="0"/>
                <w:szCs w:val="21"/>
              </w:rPr>
              <w:t>建设乌海至玛沁公路惠农至石嘴山段、乌海至银川公路银川南绕城段、S50海原至平川、S20吴灵青北环、S35石空至恩和、S50寨科至海兴公路等项目</w:t>
            </w:r>
            <w:r>
              <w:rPr>
                <w:rFonts w:ascii="Times New Roman" w:hAnsi="Times New Roman" w:eastAsia="仿宋_GB2312"/>
                <w:kern w:val="0"/>
                <w:szCs w:val="21"/>
              </w:rPr>
              <w:t>。</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交通运输厅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自然资源厅，有关市县（区）</w:t>
            </w:r>
          </w:p>
        </w:tc>
      </w:tr>
      <w:tr>
        <w:tblPrEx>
          <w:tblCellMar>
            <w:top w:w="0" w:type="dxa"/>
            <w:left w:w="0" w:type="dxa"/>
            <w:bottom w:w="0" w:type="dxa"/>
            <w:right w:w="0" w:type="dxa"/>
          </w:tblCellMar>
        </w:tblPrEx>
        <w:trPr>
          <w:gridAfter w:val="1"/>
          <w:wAfter w:w="11" w:type="dxa"/>
          <w:trHeight w:val="1035"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49</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国省干线公路</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实施国道109线、省道205线等普通国省干线公路提升改造，完成国省干线公路改造1300公里，新建中卫下河沿、平罗高仁等黄河公路大桥。</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交通运输厅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自然资源厅，有关市县（区）</w:t>
            </w:r>
          </w:p>
        </w:tc>
      </w:tr>
      <w:tr>
        <w:tblPrEx>
          <w:tblCellMar>
            <w:top w:w="0" w:type="dxa"/>
            <w:left w:w="0" w:type="dxa"/>
            <w:bottom w:w="0" w:type="dxa"/>
            <w:right w:w="0" w:type="dxa"/>
          </w:tblCellMar>
        </w:tblPrEx>
        <w:trPr>
          <w:gridAfter w:val="1"/>
          <w:wAfter w:w="11" w:type="dxa"/>
          <w:trHeight w:val="81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50</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机场建设</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改造提升固原六盘山、中卫沙坡头机场；支持红寺堡、同心、泾源等通用机场建设。</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西部机场集团宁夏机场公司</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财政厅、自然资源厅、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生态环境厅，有关市县（区）</w:t>
            </w:r>
          </w:p>
        </w:tc>
      </w:tr>
      <w:tr>
        <w:tblPrEx>
          <w:tblCellMar>
            <w:top w:w="0" w:type="dxa"/>
            <w:left w:w="0" w:type="dxa"/>
            <w:bottom w:w="0" w:type="dxa"/>
            <w:right w:w="0" w:type="dxa"/>
          </w:tblCellMar>
        </w:tblPrEx>
        <w:trPr>
          <w:gridAfter w:val="1"/>
          <w:wAfter w:w="11" w:type="dxa"/>
          <w:trHeight w:val="1303"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51</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交通枢纽</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提升完善银川河东国际机场综合交通枢纽、银川火车站综合客运枢纽，建设石嘴山高铁站，实施银川火车站西站房改扩建、中卫火车站改造、固原火车站改扩建等项目。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交通运输厅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自然资源厅、住房城乡建设厅，有关市县（区）</w:t>
            </w:r>
          </w:p>
        </w:tc>
      </w:tr>
      <w:tr>
        <w:tblPrEx>
          <w:tblCellMar>
            <w:top w:w="0" w:type="dxa"/>
            <w:left w:w="0" w:type="dxa"/>
            <w:bottom w:w="0" w:type="dxa"/>
            <w:right w:w="0" w:type="dxa"/>
          </w:tblCellMar>
        </w:tblPrEx>
        <w:trPr>
          <w:gridAfter w:val="1"/>
          <w:wAfter w:w="11" w:type="dxa"/>
          <w:trHeight w:val="106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52</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黄河航运建设</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实施黄河银川段航运二期、石嘴山段航运一期、吴忠段航运二期等航运建设项目，整治航道100公里以上。</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交通运输厅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发展改革委、自然资源厅、生态环境厅、水利厅，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有关市县（区）</w:t>
            </w:r>
          </w:p>
        </w:tc>
      </w:tr>
      <w:tr>
        <w:tblPrEx>
          <w:tblCellMar>
            <w:top w:w="0" w:type="dxa"/>
            <w:left w:w="0" w:type="dxa"/>
            <w:bottom w:w="0" w:type="dxa"/>
            <w:right w:w="0" w:type="dxa"/>
          </w:tblCellMar>
        </w:tblPrEx>
        <w:trPr>
          <w:gridAfter w:val="1"/>
          <w:wAfter w:w="11" w:type="dxa"/>
          <w:trHeight w:val="348"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b/>
                <w:bCs/>
                <w:kern w:val="0"/>
                <w:szCs w:val="21"/>
              </w:rPr>
            </w:pPr>
            <w:r>
              <w:rPr>
                <w:rFonts w:ascii="Times New Roman" w:hAnsi="Times New Roman" w:eastAsia="仿宋_GB2312"/>
                <w:b/>
                <w:bCs/>
                <w:kern w:val="0"/>
                <w:szCs w:val="21"/>
              </w:rPr>
              <w:t>十、现代水利建设重点工程项目</w:t>
            </w:r>
          </w:p>
        </w:tc>
      </w:tr>
      <w:tr>
        <w:tblPrEx>
          <w:tblCellMar>
            <w:top w:w="0" w:type="dxa"/>
            <w:left w:w="0" w:type="dxa"/>
            <w:bottom w:w="0" w:type="dxa"/>
            <w:right w:w="0" w:type="dxa"/>
          </w:tblCellMar>
        </w:tblPrEx>
        <w:trPr>
          <w:gridAfter w:val="1"/>
          <w:wAfter w:w="11" w:type="dxa"/>
          <w:trHeight w:val="1045"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53</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水资源配置体系建设工程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实施固原市水资源高效利用工程，新建中小型水库，实施水库联蓄联调和自动化信息化工程，建设非常规水利用工程。</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水利厅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自然资源厅、住房城乡建设厅，有关市县（区）</w:t>
            </w:r>
          </w:p>
        </w:tc>
      </w:tr>
      <w:tr>
        <w:tblPrEx>
          <w:tblCellMar>
            <w:top w:w="0" w:type="dxa"/>
            <w:left w:w="0" w:type="dxa"/>
            <w:bottom w:w="0" w:type="dxa"/>
            <w:right w:w="0" w:type="dxa"/>
          </w:tblCellMar>
        </w:tblPrEx>
        <w:trPr>
          <w:gridAfter w:val="1"/>
          <w:wAfter w:w="11" w:type="dxa"/>
          <w:trHeight w:val="137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54</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城乡供水网络建设工程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建设银川市、石嘴山市、中卫市等城乡供水配套工程，提升改造工业园区供水设施，因地制宜建设城市备用水源工程；推动陕甘宁革命老区供水工程、南水北调西线工程前期工作。</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水利厅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发展改革委、财政厅、自然资源厅、生态环境厅、住房城乡建设厅、农业农村厅，有关市县（区）</w:t>
            </w:r>
          </w:p>
        </w:tc>
      </w:tr>
      <w:tr>
        <w:tblPrEx>
          <w:tblCellMar>
            <w:top w:w="0" w:type="dxa"/>
            <w:left w:w="0" w:type="dxa"/>
            <w:bottom w:w="0" w:type="dxa"/>
            <w:right w:w="0" w:type="dxa"/>
          </w:tblCellMar>
        </w:tblPrEx>
        <w:trPr>
          <w:gridBefore w:val="1"/>
          <w:wBefore w:w="11" w:type="dxa"/>
          <w:trHeight w:val="377"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141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55</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灌区现代化改造工程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实施青铜峡、固海等大型灌区续建配套与现代化改造工程，实施清水河、葫芦河等中型灌区续建配套与节水改造工程，建设固海扩灌扬水更新改造工程、贺兰山东麓葡萄酒产业高质量发展供水保障工程。</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水利厅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发展改革委、财政厅、自然资源厅、生态环境厅、农业农村厅，有关市县（区）</w:t>
            </w:r>
          </w:p>
        </w:tc>
      </w:tr>
      <w:tr>
        <w:tblPrEx>
          <w:tblCellMar>
            <w:top w:w="0" w:type="dxa"/>
            <w:left w:w="0" w:type="dxa"/>
            <w:bottom w:w="0" w:type="dxa"/>
            <w:right w:w="0" w:type="dxa"/>
          </w:tblCellMar>
        </w:tblPrEx>
        <w:trPr>
          <w:gridAfter w:val="1"/>
          <w:wAfter w:w="11" w:type="dxa"/>
          <w:trHeight w:val="113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56</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防洪减灾工程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实施清水河、苦水河、葫芦河等中小河流治理工程，除险加固中小型病险水库60座以上，治理重点山洪沟20条以上。</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水利厅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有关市县（区）</w:t>
            </w:r>
          </w:p>
        </w:tc>
      </w:tr>
      <w:tr>
        <w:tblPrEx>
          <w:tblCellMar>
            <w:top w:w="0" w:type="dxa"/>
            <w:left w:w="0" w:type="dxa"/>
            <w:bottom w:w="0" w:type="dxa"/>
            <w:right w:w="0" w:type="dxa"/>
          </w:tblCellMar>
        </w:tblPrEx>
        <w:trPr>
          <w:gridAfter w:val="1"/>
          <w:wAfter w:w="11" w:type="dxa"/>
          <w:trHeight w:val="348"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b/>
                <w:bCs/>
                <w:kern w:val="0"/>
                <w:szCs w:val="21"/>
              </w:rPr>
            </w:pPr>
            <w:r>
              <w:rPr>
                <w:rFonts w:ascii="Times New Roman" w:hAnsi="Times New Roman" w:eastAsia="仿宋_GB2312"/>
                <w:b/>
                <w:bCs/>
                <w:kern w:val="0"/>
                <w:szCs w:val="21"/>
              </w:rPr>
              <w:t>十一、现代能源发展重点工程项目</w:t>
            </w:r>
          </w:p>
        </w:tc>
      </w:tr>
      <w:tr>
        <w:tblPrEx>
          <w:tblCellMar>
            <w:top w:w="0" w:type="dxa"/>
            <w:left w:w="0" w:type="dxa"/>
            <w:bottom w:w="0" w:type="dxa"/>
            <w:right w:w="0" w:type="dxa"/>
          </w:tblCellMar>
        </w:tblPrEx>
        <w:trPr>
          <w:gridAfter w:val="1"/>
          <w:wAfter w:w="11" w:type="dxa"/>
          <w:trHeight w:val="28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57</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先进煤矿建设工程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新建韦三、惠安、新乔、双马二矿、月儿湾煤矿。</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自然资源厅、生态环境厅、应急厅、</w:t>
            </w:r>
            <w:r>
              <w:rPr>
                <w:rFonts w:hint="eastAsia" w:ascii="Times New Roman" w:hAnsi="Times New Roman" w:eastAsia="仿宋_GB2312"/>
                <w:kern w:val="0"/>
                <w:szCs w:val="21"/>
              </w:rPr>
              <w:t>宁夏</w:t>
            </w:r>
            <w:r>
              <w:rPr>
                <w:rFonts w:ascii="Times New Roman" w:hAnsi="Times New Roman" w:eastAsia="仿宋_GB2312"/>
                <w:kern w:val="0"/>
                <w:szCs w:val="21"/>
              </w:rPr>
              <w:t>煤矿安全</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监察局</w:t>
            </w:r>
          </w:p>
        </w:tc>
      </w:tr>
      <w:tr>
        <w:tblPrEx>
          <w:tblCellMar>
            <w:top w:w="0" w:type="dxa"/>
            <w:left w:w="0" w:type="dxa"/>
            <w:bottom w:w="0" w:type="dxa"/>
            <w:right w:w="0" w:type="dxa"/>
          </w:tblCellMar>
        </w:tblPrEx>
        <w:trPr>
          <w:gridAfter w:val="1"/>
          <w:wAfter w:w="11" w:type="dxa"/>
          <w:trHeight w:val="1982"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58</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电力供应安全网络工程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新建青山、妙岭、天都山及平罗电厂送出等750千伏输变电工程，优化杞乡、沙湖等现有750千伏输变电工程，新建220千伏及以上线路长度1800公里；建设滨东、大板、张易等110千伏输变电，恒光、下流水、上滩、孟家湾等35千伏输变电和10千伏城农网工程。</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自然资源厅、生态环境厅、国网宁夏电力有限公司</w:t>
            </w:r>
          </w:p>
        </w:tc>
      </w:tr>
      <w:tr>
        <w:tblPrEx>
          <w:tblCellMar>
            <w:top w:w="0" w:type="dxa"/>
            <w:left w:w="0" w:type="dxa"/>
            <w:bottom w:w="0" w:type="dxa"/>
            <w:right w:w="0" w:type="dxa"/>
          </w:tblCellMar>
        </w:tblPrEx>
        <w:trPr>
          <w:gridAfter w:val="1"/>
          <w:wAfter w:w="11" w:type="dxa"/>
          <w:trHeight w:val="1615"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59</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油气开发和储运工程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实施盐池定北、青石峁气田开发项目；建设北柳、银吴、银石、盐银等天然气管道工程；实施中卫压气站二站项目，推进西气东输固原至彭阳联络管道互联互通工程前期工作；建成银川、石嘴山、吴忠、中卫应急储气设施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自然资源厅、生态环境厅，有关市县（区）</w:t>
            </w:r>
          </w:p>
        </w:tc>
      </w:tr>
      <w:tr>
        <w:tblPrEx>
          <w:tblCellMar>
            <w:top w:w="0" w:type="dxa"/>
            <w:left w:w="0" w:type="dxa"/>
            <w:bottom w:w="0" w:type="dxa"/>
            <w:right w:w="0" w:type="dxa"/>
          </w:tblCellMar>
        </w:tblPrEx>
        <w:trPr>
          <w:gridAfter w:val="1"/>
          <w:wAfter w:w="11" w:type="dxa"/>
          <w:trHeight w:val="982"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60</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煤炭储运体系建设工程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建设宁夏能源（煤炭）供应链综合服务平台和石嘴山、宁东基地、青铜峡煤炭物流储运基地。</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自然资源厅、交通运输厅、商务厅</w:t>
            </w:r>
            <w:r>
              <w:rPr>
                <w:rFonts w:hint="eastAsia" w:ascii="Times New Roman" w:hAnsi="Times New Roman" w:eastAsia="仿宋_GB2312"/>
                <w:kern w:val="0"/>
                <w:szCs w:val="21"/>
              </w:rPr>
              <w:t>、</w:t>
            </w:r>
            <w:r>
              <w:rPr>
                <w:rFonts w:ascii="Times New Roman" w:hAnsi="Times New Roman" w:eastAsia="仿宋_GB2312"/>
                <w:kern w:val="0"/>
                <w:szCs w:val="21"/>
              </w:rPr>
              <w:t>宁东管委会</w:t>
            </w:r>
            <w:r>
              <w:rPr>
                <w:rFonts w:hint="eastAsia" w:ascii="Times New Roman" w:hAnsi="Times New Roman" w:eastAsia="仿宋_GB2312"/>
                <w:kern w:val="0"/>
                <w:szCs w:val="21"/>
              </w:rPr>
              <w:t>、</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石嘴山市、青铜峡市</w:t>
            </w:r>
          </w:p>
        </w:tc>
      </w:tr>
      <w:tr>
        <w:tblPrEx>
          <w:tblCellMar>
            <w:top w:w="0" w:type="dxa"/>
            <w:left w:w="0" w:type="dxa"/>
            <w:bottom w:w="0" w:type="dxa"/>
            <w:right w:w="0" w:type="dxa"/>
          </w:tblCellMar>
        </w:tblPrEx>
        <w:trPr>
          <w:gridBefore w:val="1"/>
          <w:wBefore w:w="11" w:type="dxa"/>
          <w:trHeight w:val="411"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63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61</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风光储一体化建设工程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推进宁东、红寺堡、盐池、中宁等风光储一体化建设。</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自然资源厅、生态环境厅</w:t>
            </w:r>
            <w:r>
              <w:rPr>
                <w:rFonts w:hint="eastAsia" w:ascii="Times New Roman" w:hAnsi="Times New Roman" w:eastAsia="仿宋_GB2312"/>
                <w:kern w:val="0"/>
                <w:szCs w:val="21"/>
              </w:rPr>
              <w:t>、</w:t>
            </w:r>
            <w:r>
              <w:rPr>
                <w:rFonts w:ascii="Times New Roman" w:hAnsi="Times New Roman" w:eastAsia="仿宋_GB2312"/>
                <w:kern w:val="0"/>
                <w:szCs w:val="21"/>
              </w:rPr>
              <w:t>宁东管委会，有关市县（区）</w:t>
            </w:r>
          </w:p>
        </w:tc>
      </w:tr>
      <w:tr>
        <w:tblPrEx>
          <w:tblCellMar>
            <w:top w:w="0" w:type="dxa"/>
            <w:left w:w="0" w:type="dxa"/>
            <w:bottom w:w="0" w:type="dxa"/>
            <w:right w:w="0" w:type="dxa"/>
          </w:tblCellMar>
        </w:tblPrEx>
        <w:trPr>
          <w:gridAfter w:val="1"/>
          <w:wAfter w:w="11" w:type="dxa"/>
          <w:trHeight w:val="348"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十二、新型基础设施重点工程项目</w:t>
            </w:r>
          </w:p>
        </w:tc>
      </w:tr>
      <w:tr>
        <w:tblPrEx>
          <w:tblCellMar>
            <w:top w:w="0" w:type="dxa"/>
            <w:left w:w="0" w:type="dxa"/>
            <w:bottom w:w="0" w:type="dxa"/>
            <w:right w:w="0" w:type="dxa"/>
          </w:tblCellMar>
        </w:tblPrEx>
        <w:trPr>
          <w:gridAfter w:val="1"/>
          <w:wAfter w:w="11" w:type="dxa"/>
          <w:trHeight w:val="1209"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62</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信息网络演进升级工程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实施国家新型互联网交换中心试点项目；建设5G基站3万座，基本建成覆盖城乡的5G网络；实施千兆光纤宽带网络建设、电信普遍试点服务、骨干网络扩容升级改</w:t>
            </w:r>
            <w:r>
              <w:rPr>
                <w:rFonts w:hint="eastAsia" w:ascii="仿宋_GB2312" w:hAnsi="仿宋_GB2312" w:eastAsia="仿宋_GB2312" w:cs="仿宋_GB2312"/>
                <w:kern w:val="0"/>
                <w:szCs w:val="21"/>
              </w:rPr>
              <w:t>造等“宽带宁夏”建</w:t>
            </w:r>
            <w:r>
              <w:rPr>
                <w:rFonts w:ascii="Times New Roman" w:hAnsi="Times New Roman" w:eastAsia="仿宋_GB2312"/>
                <w:kern w:val="0"/>
                <w:szCs w:val="21"/>
              </w:rPr>
              <w:t>设。</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Times New Roman" w:hAnsi="Times New Roman" w:eastAsia="仿宋_GB2312"/>
                <w:kern w:val="0"/>
                <w:szCs w:val="21"/>
              </w:rPr>
              <w:t>宁夏</w:t>
            </w:r>
            <w:r>
              <w:rPr>
                <w:rFonts w:ascii="Times New Roman" w:hAnsi="Times New Roman" w:eastAsia="仿宋_GB2312"/>
                <w:kern w:val="0"/>
                <w:szCs w:val="21"/>
              </w:rPr>
              <w:t>通信管理局、</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工业和信息化厅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发展改革委、科技厅、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财政厅、住房城乡建设厅、农业农村厅</w:t>
            </w:r>
          </w:p>
        </w:tc>
      </w:tr>
      <w:tr>
        <w:tblPrEx>
          <w:tblCellMar>
            <w:top w:w="0" w:type="dxa"/>
            <w:left w:w="0" w:type="dxa"/>
            <w:bottom w:w="0" w:type="dxa"/>
            <w:right w:w="0" w:type="dxa"/>
          </w:tblCellMar>
        </w:tblPrEx>
        <w:trPr>
          <w:gridAfter w:val="1"/>
          <w:wAfter w:w="11" w:type="dxa"/>
          <w:trHeight w:val="1241"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63</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算力基础设施建设工程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建设宁夏超级计算中心、中西部时空信息大数据中心、国家北斗导航位置数据中心宁夏分中心；实施西部云基地（宁夏）一体化大数据中心项目，建设人民网、中国联通、中国电信、中国移动二期等数据中心。</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工业和信息化厅、</w:t>
            </w:r>
          </w:p>
          <w:p>
            <w:pPr>
              <w:widowControl/>
              <w:jc w:val="center"/>
              <w:textAlignment w:val="center"/>
              <w:rPr>
                <w:rFonts w:ascii="Times New Roman" w:hAnsi="Times New Roman" w:eastAsia="仿宋_GB2312"/>
                <w:szCs w:val="21"/>
              </w:rPr>
            </w:pPr>
            <w:r>
              <w:rPr>
                <w:rFonts w:hint="eastAsia" w:ascii="Times New Roman" w:hAnsi="Times New Roman" w:eastAsia="仿宋_GB2312"/>
                <w:kern w:val="0"/>
                <w:szCs w:val="21"/>
              </w:rPr>
              <w:t>宁夏</w:t>
            </w:r>
            <w:r>
              <w:rPr>
                <w:rFonts w:ascii="Times New Roman" w:hAnsi="Times New Roman" w:eastAsia="仿宋_GB2312"/>
                <w:kern w:val="0"/>
                <w:szCs w:val="21"/>
              </w:rPr>
              <w:t>通信管理局</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发展改革委、科技厅</w:t>
            </w:r>
            <w:r>
              <w:rPr>
                <w:rFonts w:hint="eastAsia" w:ascii="Times New Roman" w:hAnsi="Times New Roman" w:eastAsia="仿宋_GB2312"/>
                <w:kern w:val="0"/>
                <w:szCs w:val="21"/>
              </w:rPr>
              <w:t>、</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中卫市</w:t>
            </w:r>
          </w:p>
        </w:tc>
      </w:tr>
      <w:tr>
        <w:tblPrEx>
          <w:tblCellMar>
            <w:top w:w="0" w:type="dxa"/>
            <w:left w:w="0" w:type="dxa"/>
            <w:bottom w:w="0" w:type="dxa"/>
            <w:right w:w="0" w:type="dxa"/>
          </w:tblCellMar>
        </w:tblPrEx>
        <w:trPr>
          <w:gridAfter w:val="1"/>
          <w:wAfter w:w="11" w:type="dxa"/>
          <w:trHeight w:val="1851"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64</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融合基础设施建设工程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推进5G、物联网、大数据、人工智能等信息基础设施与传统基础设施融合发展，实施高速公路和城市道路两侧设施智能化升级，开</w:t>
            </w:r>
            <w:r>
              <w:rPr>
                <w:rFonts w:hint="eastAsia" w:ascii="仿宋_GB2312" w:hAnsi="仿宋_GB2312" w:eastAsia="仿宋_GB2312" w:cs="仿宋_GB2312"/>
                <w:kern w:val="0"/>
                <w:szCs w:val="21"/>
              </w:rPr>
              <w:t>展智能网联汽车道路测试示范应用，发展“智能电网”“智能煤矿”“数字治水”“数字河湖”等</w:t>
            </w:r>
            <w:r>
              <w:rPr>
                <w:rFonts w:ascii="Times New Roman" w:hAnsi="Times New Roman" w:eastAsia="仿宋_GB2312"/>
                <w:kern w:val="0"/>
                <w:szCs w:val="21"/>
              </w:rPr>
              <w:t>，实施社会管理和公共服务基础设施智能化改造。</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住房城乡建设厅、</w:t>
            </w:r>
          </w:p>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交通运输厅、水利厅、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商务厅、</w:t>
            </w:r>
            <w:r>
              <w:rPr>
                <w:rFonts w:hint="eastAsia" w:ascii="Times New Roman" w:hAnsi="Times New Roman" w:eastAsia="仿宋_GB2312"/>
                <w:kern w:val="0"/>
                <w:szCs w:val="21"/>
              </w:rPr>
              <w:t>宁夏</w:t>
            </w:r>
            <w:r>
              <w:rPr>
                <w:rFonts w:ascii="Times New Roman" w:hAnsi="Times New Roman" w:eastAsia="仿宋_GB2312"/>
                <w:kern w:val="0"/>
                <w:szCs w:val="21"/>
              </w:rPr>
              <w:t>通信管理局</w:t>
            </w:r>
          </w:p>
        </w:tc>
      </w:tr>
      <w:tr>
        <w:tblPrEx>
          <w:tblCellMar>
            <w:top w:w="0" w:type="dxa"/>
            <w:left w:w="0" w:type="dxa"/>
            <w:bottom w:w="0" w:type="dxa"/>
            <w:right w:w="0" w:type="dxa"/>
          </w:tblCellMar>
        </w:tblPrEx>
        <w:trPr>
          <w:gridAfter w:val="1"/>
          <w:wAfter w:w="11" w:type="dxa"/>
          <w:trHeight w:val="348"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b/>
                <w:bCs/>
                <w:kern w:val="0"/>
                <w:szCs w:val="21"/>
              </w:rPr>
            </w:pPr>
            <w:r>
              <w:rPr>
                <w:rFonts w:ascii="Times New Roman" w:hAnsi="Times New Roman" w:eastAsia="仿宋_GB2312"/>
                <w:b/>
                <w:bCs/>
                <w:kern w:val="0"/>
                <w:szCs w:val="21"/>
              </w:rPr>
              <w:t>十三、市场体系建设重点工程项目</w:t>
            </w:r>
          </w:p>
        </w:tc>
      </w:tr>
      <w:tr>
        <w:tblPrEx>
          <w:tblCellMar>
            <w:top w:w="0" w:type="dxa"/>
            <w:left w:w="0" w:type="dxa"/>
            <w:bottom w:w="0" w:type="dxa"/>
            <w:right w:w="0" w:type="dxa"/>
          </w:tblCellMar>
        </w:tblPrEx>
        <w:trPr>
          <w:gridAfter w:val="1"/>
          <w:wAfter w:w="11" w:type="dxa"/>
          <w:trHeight w:val="2397"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65</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现代物流体系建设工程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在</w:t>
            </w:r>
            <w:r>
              <w:rPr>
                <w:rFonts w:hint="eastAsia" w:ascii="Times New Roman" w:hAnsi="Times New Roman" w:eastAsia="仿宋_GB2312"/>
                <w:kern w:val="0"/>
                <w:szCs w:val="21"/>
              </w:rPr>
              <w:t>五个地级</w:t>
            </w:r>
            <w:r>
              <w:rPr>
                <w:rFonts w:ascii="Times New Roman" w:hAnsi="Times New Roman" w:eastAsia="仿宋_GB2312"/>
                <w:kern w:val="0"/>
                <w:szCs w:val="21"/>
              </w:rPr>
              <w:t>市和宁东基地建设集仓储、物流、分拨配送为一体的物流集散中心，建设以冷藏、冷冻设施为主的冷链物流基地；完善县城物流基础设施，建设县级物流分拨配送中心；鼓励商贸、供销、运输等企业加大在农村地区的设施网络布局，建设农产品冷链物流设施和田头市场仓储保鲜设施；实施快</w:t>
            </w:r>
            <w:r>
              <w:rPr>
                <w:rFonts w:hint="eastAsia" w:ascii="仿宋_GB2312" w:hAnsi="仿宋_GB2312" w:eastAsia="仿宋_GB2312" w:cs="仿宋_GB2312"/>
                <w:kern w:val="0"/>
                <w:szCs w:val="21"/>
              </w:rPr>
              <w:t>递“两进一出”工</w:t>
            </w:r>
            <w:r>
              <w:rPr>
                <w:rFonts w:ascii="Times New Roman" w:hAnsi="Times New Roman" w:eastAsia="仿宋_GB2312"/>
                <w:kern w:val="0"/>
                <w:szCs w:val="21"/>
              </w:rPr>
              <w:t>程。</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商务厅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农业农村厅</w:t>
            </w:r>
            <w:r>
              <w:rPr>
                <w:rFonts w:hint="eastAsia" w:ascii="Times New Roman" w:hAnsi="Times New Roman" w:eastAsia="仿宋_GB2312"/>
                <w:kern w:val="0"/>
                <w:szCs w:val="21"/>
              </w:rPr>
              <w:t>、</w:t>
            </w:r>
            <w:r>
              <w:rPr>
                <w:rFonts w:ascii="Times New Roman" w:hAnsi="Times New Roman" w:eastAsia="仿宋_GB2312"/>
                <w:kern w:val="0"/>
                <w:szCs w:val="21"/>
              </w:rPr>
              <w:t>宁东管委会、供销社</w:t>
            </w:r>
            <w:r>
              <w:rPr>
                <w:rFonts w:hint="eastAsia" w:ascii="Times New Roman" w:hAnsi="Times New Roman" w:eastAsia="仿宋_GB2312"/>
                <w:kern w:val="0"/>
                <w:szCs w:val="21"/>
              </w:rPr>
              <w:t>、宁夏</w:t>
            </w:r>
            <w:r>
              <w:rPr>
                <w:rFonts w:ascii="Times New Roman" w:hAnsi="Times New Roman" w:eastAsia="仿宋_GB2312"/>
                <w:kern w:val="0"/>
                <w:szCs w:val="21"/>
              </w:rPr>
              <w:t>邮政管理局，有关市县（区）</w:t>
            </w:r>
          </w:p>
        </w:tc>
      </w:tr>
      <w:tr>
        <w:tblPrEx>
          <w:tblCellMar>
            <w:top w:w="0" w:type="dxa"/>
            <w:left w:w="0" w:type="dxa"/>
            <w:bottom w:w="0" w:type="dxa"/>
            <w:right w:w="0" w:type="dxa"/>
          </w:tblCellMar>
        </w:tblPrEx>
        <w:trPr>
          <w:gridBefore w:val="1"/>
          <w:wBefore w:w="11" w:type="dxa"/>
          <w:trHeight w:val="467"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99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6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66</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60" w:lineRule="exact"/>
              <w:jc w:val="left"/>
              <w:textAlignment w:val="center"/>
              <w:rPr>
                <w:rFonts w:ascii="Times New Roman" w:hAnsi="Times New Roman" w:eastAsia="仿宋_GB2312"/>
                <w:szCs w:val="21"/>
              </w:rPr>
            </w:pPr>
            <w:r>
              <w:rPr>
                <w:rFonts w:ascii="Times New Roman" w:hAnsi="Times New Roman" w:eastAsia="仿宋_GB2312"/>
                <w:kern w:val="0"/>
                <w:szCs w:val="21"/>
              </w:rPr>
              <w:t>大型市场培育提升工程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60" w:lineRule="exact"/>
              <w:textAlignment w:val="center"/>
              <w:rPr>
                <w:rFonts w:ascii="Times New Roman" w:hAnsi="Times New Roman" w:eastAsia="仿宋_GB2312"/>
                <w:szCs w:val="21"/>
              </w:rPr>
            </w:pPr>
            <w:r>
              <w:rPr>
                <w:rFonts w:ascii="Times New Roman" w:hAnsi="Times New Roman" w:eastAsia="仿宋_GB2312"/>
                <w:kern w:val="0"/>
                <w:szCs w:val="21"/>
              </w:rPr>
              <w:t>发展壮大一批交易过100亿的大型批发市场，扶持一批交易过50亿的中型批发市场，培育一批交易过10亿的区域批发市场。</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60" w:lineRule="exact"/>
              <w:jc w:val="center"/>
              <w:textAlignment w:val="center"/>
              <w:rPr>
                <w:rFonts w:ascii="Times New Roman" w:hAnsi="Times New Roman" w:eastAsia="仿宋_GB2312"/>
                <w:szCs w:val="21"/>
              </w:rPr>
            </w:pPr>
            <w:r>
              <w:rPr>
                <w:rFonts w:ascii="Times New Roman" w:hAnsi="Times New Roman" w:eastAsia="仿宋_GB2312"/>
                <w:kern w:val="0"/>
                <w:szCs w:val="21"/>
              </w:rPr>
              <w:t>商务厅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spacing w:line="360" w:lineRule="exact"/>
              <w:jc w:val="center"/>
              <w:rPr>
                <w:rFonts w:ascii="Times New Roman" w:hAnsi="Times New Roman" w:eastAsia="仿宋_GB2312"/>
                <w:kern w:val="0"/>
                <w:szCs w:val="21"/>
              </w:rPr>
            </w:pPr>
            <w:r>
              <w:rPr>
                <w:rFonts w:ascii="Times New Roman" w:hAnsi="Times New Roman" w:eastAsia="仿宋_GB2312"/>
                <w:kern w:val="0"/>
                <w:szCs w:val="21"/>
              </w:rPr>
              <w:t>财政厅、市场监管厅，</w:t>
            </w:r>
          </w:p>
          <w:p>
            <w:pPr>
              <w:spacing w:line="360" w:lineRule="exact"/>
              <w:jc w:val="center"/>
              <w:rPr>
                <w:rFonts w:ascii="Times New Roman" w:hAnsi="Times New Roman" w:eastAsia="仿宋_GB2312"/>
                <w:szCs w:val="21"/>
              </w:rPr>
            </w:pPr>
            <w:r>
              <w:rPr>
                <w:rFonts w:ascii="Times New Roman" w:hAnsi="Times New Roman" w:eastAsia="仿宋_GB2312"/>
                <w:kern w:val="0"/>
                <w:szCs w:val="21"/>
              </w:rPr>
              <w:t>有关市县（区）</w:t>
            </w:r>
          </w:p>
        </w:tc>
      </w:tr>
      <w:tr>
        <w:tblPrEx>
          <w:tblCellMar>
            <w:top w:w="0" w:type="dxa"/>
            <w:left w:w="0" w:type="dxa"/>
            <w:bottom w:w="0" w:type="dxa"/>
            <w:right w:w="0" w:type="dxa"/>
          </w:tblCellMar>
        </w:tblPrEx>
        <w:trPr>
          <w:gridAfter w:val="1"/>
          <w:wAfter w:w="11" w:type="dxa"/>
          <w:trHeight w:val="2552"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60" w:lineRule="exact"/>
              <w:jc w:val="center"/>
              <w:textAlignment w:val="center"/>
              <w:rPr>
                <w:rFonts w:ascii="Times New Roman" w:hAnsi="Times New Roman" w:eastAsiaTheme="minorEastAsia"/>
                <w:kern w:val="0"/>
                <w:szCs w:val="21"/>
              </w:rPr>
            </w:pPr>
            <w:r>
              <w:rPr>
                <w:rFonts w:ascii="Times New Roman" w:hAnsi="Times New Roman" w:eastAsiaTheme="minorEastAsia"/>
                <w:kern w:val="0"/>
                <w:szCs w:val="21"/>
              </w:rPr>
              <w:t>67</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60" w:lineRule="exact"/>
              <w:jc w:val="left"/>
              <w:textAlignment w:val="center"/>
              <w:rPr>
                <w:rFonts w:ascii="Times New Roman" w:hAnsi="Times New Roman" w:eastAsia="仿宋_GB2312"/>
                <w:kern w:val="0"/>
                <w:szCs w:val="21"/>
              </w:rPr>
            </w:pPr>
            <w:r>
              <w:rPr>
                <w:rFonts w:ascii="Times New Roman" w:hAnsi="Times New Roman" w:eastAsia="仿宋_GB2312"/>
                <w:kern w:val="0"/>
                <w:szCs w:val="21"/>
              </w:rPr>
              <w:t>质量提升和品牌培育工程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60" w:lineRule="exact"/>
              <w:textAlignment w:val="center"/>
              <w:rPr>
                <w:rFonts w:ascii="Times New Roman" w:hAnsi="Times New Roman" w:eastAsia="仿宋_GB2312"/>
                <w:kern w:val="0"/>
                <w:szCs w:val="21"/>
              </w:rPr>
            </w:pPr>
            <w:r>
              <w:rPr>
                <w:rFonts w:ascii="Times New Roman" w:hAnsi="Times New Roman" w:eastAsia="仿宋_GB2312"/>
                <w:kern w:val="0"/>
                <w:szCs w:val="21"/>
              </w:rPr>
              <w:t>推进质量强市（县）示范城市建设，探索建设出口花卉、蔬菜等产业集聚区国检监管区，建设国家（宁夏）葡萄酒、枸杞质量检验检测中心，建设计量测试平台和煤化工、新材料、仪器仪表、绿色食品等产品质量检验检测中心，完善特色优势产品质量安全追溯体系；建设线上线下结合的宁夏名优产品推介平台，完善区域公用品牌、产地品牌和产品品牌智能化管理体系。</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60" w:lineRule="exact"/>
              <w:jc w:val="center"/>
              <w:textAlignment w:val="center"/>
              <w:rPr>
                <w:rFonts w:ascii="Times New Roman" w:hAnsi="Times New Roman" w:eastAsia="仿宋_GB2312"/>
                <w:kern w:val="0"/>
                <w:szCs w:val="21"/>
              </w:rPr>
            </w:pPr>
            <w:r>
              <w:rPr>
                <w:rFonts w:ascii="Times New Roman" w:hAnsi="Times New Roman" w:eastAsia="仿宋_GB2312"/>
                <w:kern w:val="0"/>
                <w:szCs w:val="21"/>
              </w:rPr>
              <w:t>市场监管厅、</w:t>
            </w:r>
          </w:p>
          <w:p>
            <w:pPr>
              <w:widowControl/>
              <w:spacing w:line="360" w:lineRule="exact"/>
              <w:jc w:val="center"/>
              <w:textAlignment w:val="center"/>
              <w:rPr>
                <w:rFonts w:ascii="Times New Roman" w:hAnsi="Times New Roman" w:eastAsia="仿宋_GB2312"/>
                <w:kern w:val="0"/>
                <w:szCs w:val="21"/>
              </w:rPr>
            </w:pPr>
            <w:r>
              <w:rPr>
                <w:rFonts w:ascii="Times New Roman" w:hAnsi="Times New Roman" w:eastAsia="仿宋_GB2312"/>
                <w:kern w:val="0"/>
                <w:szCs w:val="21"/>
              </w:rPr>
              <w:t>商务厅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spacing w:line="360" w:lineRule="exact"/>
              <w:jc w:val="center"/>
              <w:rPr>
                <w:rFonts w:ascii="Times New Roman" w:hAnsi="Times New Roman" w:eastAsia="仿宋_GB2312"/>
                <w:szCs w:val="21"/>
              </w:rPr>
            </w:pPr>
            <w:r>
              <w:rPr>
                <w:rFonts w:ascii="Times New Roman" w:hAnsi="Times New Roman" w:eastAsia="仿宋_GB2312"/>
                <w:szCs w:val="21"/>
              </w:rPr>
              <w:t>工业和信息化厅、</w:t>
            </w:r>
          </w:p>
          <w:p>
            <w:pPr>
              <w:spacing w:line="360" w:lineRule="exact"/>
              <w:jc w:val="center"/>
              <w:rPr>
                <w:rFonts w:ascii="Times New Roman" w:hAnsi="Times New Roman" w:eastAsia="仿宋_GB2312"/>
                <w:kern w:val="0"/>
                <w:szCs w:val="21"/>
              </w:rPr>
            </w:pPr>
            <w:r>
              <w:rPr>
                <w:rFonts w:ascii="Times New Roman" w:hAnsi="Times New Roman" w:eastAsia="仿宋_GB2312"/>
                <w:szCs w:val="21"/>
              </w:rPr>
              <w:t>农业农村厅、林草局</w:t>
            </w:r>
          </w:p>
        </w:tc>
      </w:tr>
      <w:tr>
        <w:tblPrEx>
          <w:tblCellMar>
            <w:top w:w="0" w:type="dxa"/>
            <w:left w:w="0" w:type="dxa"/>
            <w:bottom w:w="0" w:type="dxa"/>
            <w:right w:w="0" w:type="dxa"/>
          </w:tblCellMar>
        </w:tblPrEx>
        <w:trPr>
          <w:gridAfter w:val="1"/>
          <w:wAfter w:w="11" w:type="dxa"/>
          <w:trHeight w:val="2251"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6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68</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60" w:lineRule="exact"/>
              <w:jc w:val="left"/>
              <w:textAlignment w:val="center"/>
              <w:rPr>
                <w:rFonts w:ascii="Times New Roman" w:hAnsi="Times New Roman" w:eastAsia="仿宋_GB2312"/>
                <w:szCs w:val="21"/>
              </w:rPr>
            </w:pPr>
            <w:r>
              <w:rPr>
                <w:rFonts w:ascii="Times New Roman" w:hAnsi="Times New Roman" w:eastAsia="仿宋_GB2312"/>
                <w:kern w:val="0"/>
                <w:szCs w:val="21"/>
              </w:rPr>
              <w:t>城市特色街区改造提升工程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abs>
                <w:tab w:val="left" w:pos="1953"/>
              </w:tabs>
              <w:spacing w:line="360" w:lineRule="exact"/>
              <w:textAlignment w:val="center"/>
              <w:rPr>
                <w:rFonts w:ascii="Times New Roman" w:hAnsi="Times New Roman" w:eastAsia="仿宋_GB2312"/>
                <w:szCs w:val="21"/>
              </w:rPr>
            </w:pPr>
            <w:r>
              <w:rPr>
                <w:rFonts w:ascii="Times New Roman" w:hAnsi="Times New Roman" w:eastAsia="仿宋_GB2312"/>
                <w:spacing w:val="-6"/>
                <w:kern w:val="0"/>
                <w:szCs w:val="21"/>
              </w:rPr>
              <w:t>以特色美食、艺术文化、人文旅游、休闲娱乐为主题，在五</w:t>
            </w:r>
            <w:r>
              <w:rPr>
                <w:rFonts w:hint="eastAsia" w:ascii="Times New Roman" w:hAnsi="Times New Roman" w:eastAsia="仿宋_GB2312"/>
                <w:spacing w:val="-6"/>
                <w:kern w:val="0"/>
                <w:szCs w:val="21"/>
              </w:rPr>
              <w:t>个地级</w:t>
            </w:r>
            <w:r>
              <w:rPr>
                <w:rFonts w:ascii="Times New Roman" w:hAnsi="Times New Roman" w:eastAsia="仿宋_GB2312"/>
                <w:spacing w:val="-6"/>
                <w:kern w:val="0"/>
                <w:szCs w:val="21"/>
              </w:rPr>
              <w:t>市城区改造提升5</w:t>
            </w:r>
            <w:r>
              <w:rPr>
                <w:rFonts w:hint="eastAsia" w:ascii="仿宋_GB2312" w:hAnsi="仿宋_GB2312" w:eastAsia="仿宋_GB2312" w:cs="仿宋_GB2312"/>
                <w:spacing w:val="-6"/>
                <w:kern w:val="0"/>
                <w:szCs w:val="21"/>
              </w:rPr>
              <w:t>—</w:t>
            </w:r>
            <w:r>
              <w:rPr>
                <w:rFonts w:ascii="Times New Roman" w:hAnsi="Times New Roman" w:eastAsia="仿宋_GB2312"/>
                <w:spacing w:val="-6"/>
                <w:kern w:val="0"/>
                <w:szCs w:val="21"/>
              </w:rPr>
              <w:t>7条高品位步行街；支持商业综合体、特色商业街区、夜市、旅游景点等数字化改造，培育集文创商店、特色书店、小剧场、文化娱乐、非遗传承等多种业态的特色文化旅游街区；争创银川市国家文化和旅游消费试点城市</w:t>
            </w:r>
            <w:r>
              <w:rPr>
                <w:rFonts w:ascii="Times New Roman" w:hAnsi="Times New Roman" w:eastAsia="仿宋_GB2312"/>
                <w:kern w:val="0"/>
                <w:szCs w:val="21"/>
              </w:rPr>
              <w:t>。</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60" w:lineRule="exact"/>
              <w:jc w:val="center"/>
              <w:textAlignment w:val="center"/>
              <w:rPr>
                <w:rFonts w:ascii="Times New Roman" w:hAnsi="Times New Roman" w:eastAsia="仿宋_GB2312"/>
                <w:kern w:val="0"/>
                <w:szCs w:val="21"/>
              </w:rPr>
            </w:pPr>
            <w:r>
              <w:rPr>
                <w:rFonts w:ascii="Times New Roman" w:hAnsi="Times New Roman" w:eastAsia="仿宋_GB2312"/>
                <w:kern w:val="0"/>
                <w:szCs w:val="21"/>
              </w:rPr>
              <w:t>商务厅、</w:t>
            </w:r>
          </w:p>
          <w:p>
            <w:pPr>
              <w:widowControl/>
              <w:spacing w:line="360" w:lineRule="exact"/>
              <w:jc w:val="center"/>
              <w:textAlignment w:val="center"/>
              <w:rPr>
                <w:rFonts w:ascii="Times New Roman" w:hAnsi="Times New Roman" w:eastAsia="仿宋_GB2312"/>
                <w:szCs w:val="21"/>
              </w:rPr>
            </w:pPr>
            <w:r>
              <w:rPr>
                <w:rFonts w:ascii="Times New Roman" w:hAnsi="Times New Roman" w:eastAsia="仿宋_GB2312"/>
                <w:kern w:val="0"/>
                <w:szCs w:val="21"/>
              </w:rPr>
              <w:t>发展改革委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60" w:lineRule="exact"/>
              <w:jc w:val="center"/>
              <w:textAlignment w:val="center"/>
              <w:rPr>
                <w:rFonts w:ascii="Times New Roman" w:hAnsi="Times New Roman" w:eastAsia="仿宋_GB2312"/>
                <w:kern w:val="0"/>
                <w:szCs w:val="21"/>
              </w:rPr>
            </w:pPr>
            <w:r>
              <w:rPr>
                <w:rFonts w:ascii="Times New Roman" w:hAnsi="Times New Roman" w:eastAsia="仿宋_GB2312"/>
                <w:kern w:val="0"/>
                <w:szCs w:val="21"/>
              </w:rPr>
              <w:t>住房城乡建设厅、</w:t>
            </w:r>
          </w:p>
          <w:p>
            <w:pPr>
              <w:widowControl/>
              <w:spacing w:line="360" w:lineRule="exact"/>
              <w:jc w:val="center"/>
              <w:textAlignment w:val="center"/>
              <w:rPr>
                <w:rFonts w:ascii="Times New Roman" w:hAnsi="Times New Roman" w:eastAsia="仿宋_GB2312"/>
                <w:kern w:val="0"/>
                <w:szCs w:val="21"/>
              </w:rPr>
            </w:pPr>
            <w:r>
              <w:rPr>
                <w:rFonts w:ascii="Times New Roman" w:hAnsi="Times New Roman" w:eastAsia="仿宋_GB2312"/>
                <w:kern w:val="0"/>
                <w:szCs w:val="21"/>
              </w:rPr>
              <w:t>文化和旅游厅、</w:t>
            </w:r>
          </w:p>
          <w:p>
            <w:pPr>
              <w:widowControl/>
              <w:spacing w:line="360" w:lineRule="exact"/>
              <w:jc w:val="center"/>
              <w:textAlignment w:val="center"/>
              <w:rPr>
                <w:rFonts w:ascii="Times New Roman" w:hAnsi="Times New Roman" w:eastAsia="仿宋_GB2312"/>
                <w:szCs w:val="21"/>
              </w:rPr>
            </w:pPr>
            <w:r>
              <w:rPr>
                <w:rFonts w:ascii="Times New Roman" w:hAnsi="Times New Roman" w:eastAsia="仿宋_GB2312"/>
                <w:kern w:val="0"/>
                <w:szCs w:val="21"/>
              </w:rPr>
              <w:t>市场监管厅，有关市县（区）</w:t>
            </w:r>
          </w:p>
        </w:tc>
      </w:tr>
      <w:tr>
        <w:tblPrEx>
          <w:tblCellMar>
            <w:top w:w="0" w:type="dxa"/>
            <w:left w:w="0" w:type="dxa"/>
            <w:bottom w:w="0" w:type="dxa"/>
            <w:right w:w="0" w:type="dxa"/>
          </w:tblCellMar>
        </w:tblPrEx>
        <w:trPr>
          <w:gridAfter w:val="1"/>
          <w:wAfter w:w="11" w:type="dxa"/>
          <w:trHeight w:val="1983"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6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69</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60" w:lineRule="exact"/>
              <w:jc w:val="left"/>
              <w:textAlignment w:val="center"/>
              <w:rPr>
                <w:rFonts w:ascii="Times New Roman" w:hAnsi="Times New Roman" w:eastAsia="仿宋_GB2312"/>
                <w:szCs w:val="21"/>
              </w:rPr>
            </w:pPr>
            <w:r>
              <w:rPr>
                <w:rFonts w:ascii="Times New Roman" w:hAnsi="Times New Roman" w:eastAsia="仿宋_GB2312"/>
                <w:kern w:val="0"/>
                <w:szCs w:val="21"/>
              </w:rPr>
              <w:t>城乡消费服务体系建设工程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60" w:lineRule="exact"/>
              <w:textAlignment w:val="center"/>
              <w:rPr>
                <w:rFonts w:ascii="Times New Roman" w:hAnsi="Times New Roman" w:eastAsia="仿宋_GB2312"/>
                <w:szCs w:val="21"/>
              </w:rPr>
            </w:pPr>
            <w:r>
              <w:rPr>
                <w:rFonts w:ascii="Times New Roman" w:hAnsi="Times New Roman" w:eastAsia="仿宋_GB2312"/>
                <w:kern w:val="0"/>
                <w:szCs w:val="21"/>
              </w:rPr>
              <w:t>以推进中小型消费城市梯队建设和完善县城消费节点为重点，培育一批智慧商场、智慧超市、智慧餐厅、智慧市场等新零售业态；建设乡镇商贸中心，改造提升乡镇（村）和移民村农贸市场，实施电子商务进农村综合示范工程，构建超市进镇、连锁下乡、配送到村的农村市场体系。</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60" w:lineRule="exact"/>
              <w:jc w:val="center"/>
              <w:textAlignment w:val="center"/>
              <w:rPr>
                <w:rFonts w:ascii="Times New Roman" w:hAnsi="Times New Roman" w:eastAsia="仿宋_GB2312"/>
                <w:szCs w:val="21"/>
              </w:rPr>
            </w:pPr>
            <w:r>
              <w:rPr>
                <w:rFonts w:ascii="Times New Roman" w:hAnsi="Times New Roman" w:eastAsia="仿宋_GB2312"/>
                <w:kern w:val="0"/>
                <w:szCs w:val="21"/>
              </w:rPr>
              <w:t>商务厅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60" w:lineRule="exact"/>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spacing w:line="360" w:lineRule="exact"/>
              <w:jc w:val="center"/>
              <w:textAlignment w:val="center"/>
              <w:rPr>
                <w:rFonts w:ascii="Times New Roman" w:hAnsi="Times New Roman" w:eastAsia="仿宋_GB2312"/>
                <w:szCs w:val="21"/>
              </w:rPr>
            </w:pPr>
            <w:r>
              <w:rPr>
                <w:rFonts w:ascii="Times New Roman" w:hAnsi="Times New Roman" w:eastAsia="仿宋_GB2312"/>
                <w:kern w:val="0"/>
                <w:szCs w:val="21"/>
              </w:rPr>
              <w:t>农业农村厅、市场监管厅</w:t>
            </w:r>
            <w:r>
              <w:rPr>
                <w:rFonts w:hint="eastAsia" w:ascii="Times New Roman" w:hAnsi="Times New Roman" w:eastAsia="仿宋_GB2312"/>
                <w:kern w:val="0"/>
                <w:szCs w:val="21"/>
              </w:rPr>
              <w:t>、</w:t>
            </w:r>
            <w:r>
              <w:rPr>
                <w:rFonts w:ascii="Times New Roman" w:hAnsi="Times New Roman" w:eastAsia="仿宋_GB2312"/>
                <w:kern w:val="0"/>
                <w:szCs w:val="21"/>
              </w:rPr>
              <w:t>供销社</w:t>
            </w:r>
            <w:r>
              <w:rPr>
                <w:rFonts w:hint="eastAsia" w:ascii="Times New Roman" w:hAnsi="Times New Roman" w:eastAsia="仿宋_GB2312"/>
                <w:kern w:val="0"/>
                <w:szCs w:val="21"/>
              </w:rPr>
              <w:t>、宁夏</w:t>
            </w:r>
            <w:r>
              <w:rPr>
                <w:rFonts w:ascii="Times New Roman" w:hAnsi="Times New Roman" w:eastAsia="仿宋_GB2312"/>
                <w:kern w:val="0"/>
                <w:szCs w:val="21"/>
              </w:rPr>
              <w:t>邮政管理局</w:t>
            </w:r>
          </w:p>
        </w:tc>
      </w:tr>
      <w:tr>
        <w:tblPrEx>
          <w:tblCellMar>
            <w:top w:w="0" w:type="dxa"/>
            <w:left w:w="0" w:type="dxa"/>
            <w:bottom w:w="0" w:type="dxa"/>
            <w:right w:w="0" w:type="dxa"/>
          </w:tblCellMar>
        </w:tblPrEx>
        <w:trPr>
          <w:gridBefore w:val="1"/>
          <w:wBefore w:w="11" w:type="dxa"/>
          <w:trHeight w:val="34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b/>
                <w:bCs/>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b/>
                <w:bCs/>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b/>
                <w:bCs/>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b/>
                <w:bCs/>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b/>
                <w:bCs/>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448"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b/>
                <w:bCs/>
                <w:kern w:val="0"/>
                <w:szCs w:val="21"/>
              </w:rPr>
            </w:pPr>
            <w:r>
              <w:rPr>
                <w:rFonts w:ascii="Times New Roman" w:hAnsi="Times New Roman" w:eastAsia="仿宋_GB2312"/>
                <w:b/>
                <w:bCs/>
                <w:kern w:val="0"/>
                <w:szCs w:val="21"/>
              </w:rPr>
              <w:t>十四、开放平台载体重点工程项目</w:t>
            </w:r>
          </w:p>
        </w:tc>
      </w:tr>
      <w:tr>
        <w:tblPrEx>
          <w:tblCellMar>
            <w:top w:w="0" w:type="dxa"/>
            <w:left w:w="0" w:type="dxa"/>
            <w:bottom w:w="0" w:type="dxa"/>
            <w:right w:w="0" w:type="dxa"/>
          </w:tblCellMar>
        </w:tblPrEx>
        <w:trPr>
          <w:gridAfter w:val="1"/>
          <w:wAfter w:w="11" w:type="dxa"/>
          <w:trHeight w:val="1681"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70</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口岸基础设施改造工程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建设银川国际公铁物流港保税仓储、检疫检验设施和多式联运智慧物流平台等；完善银川综合保税区、银川航空口岸、中卫迎水桥保税物流中心、石嘴山保税物流中心、惠农陆路口岸基础设施和配套服务设施。</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商务厅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发展改革委、交通运输厅、市场监管厅</w:t>
            </w:r>
            <w:r>
              <w:rPr>
                <w:rFonts w:hint="eastAsia" w:ascii="Times New Roman" w:hAnsi="Times New Roman" w:eastAsia="仿宋_GB2312"/>
                <w:kern w:val="0"/>
                <w:szCs w:val="21"/>
              </w:rPr>
              <w:t>、</w:t>
            </w:r>
            <w:r>
              <w:rPr>
                <w:rFonts w:ascii="Times New Roman" w:hAnsi="Times New Roman" w:eastAsia="仿宋_GB2312"/>
                <w:kern w:val="0"/>
                <w:szCs w:val="21"/>
              </w:rPr>
              <w:t>银川海关，</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有关市县（区）</w:t>
            </w:r>
          </w:p>
        </w:tc>
      </w:tr>
      <w:tr>
        <w:tblPrEx>
          <w:tblCellMar>
            <w:top w:w="0" w:type="dxa"/>
            <w:left w:w="0" w:type="dxa"/>
            <w:bottom w:w="0" w:type="dxa"/>
            <w:right w:w="0" w:type="dxa"/>
          </w:tblCellMar>
        </w:tblPrEx>
        <w:trPr>
          <w:gridAfter w:val="1"/>
          <w:wAfter w:w="11" w:type="dxa"/>
          <w:trHeight w:val="1014"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71</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开放型经济园区提升工程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建设银川综合保税区智慧园区、进口商品展示交易中心、跨境电商线上线下体验馆等项目；建设石嘴山、中卫大宗进口商品集散分拨中心。</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商务厅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发展改革委、工业和信息化厅、农业农村厅，有关市县（区）</w:t>
            </w:r>
          </w:p>
        </w:tc>
      </w:tr>
      <w:tr>
        <w:tblPrEx>
          <w:tblCellMar>
            <w:top w:w="0" w:type="dxa"/>
            <w:left w:w="0" w:type="dxa"/>
            <w:bottom w:w="0" w:type="dxa"/>
            <w:right w:w="0" w:type="dxa"/>
          </w:tblCellMar>
        </w:tblPrEx>
        <w:trPr>
          <w:gridAfter w:val="1"/>
          <w:wAfter w:w="11" w:type="dxa"/>
          <w:trHeight w:val="166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72</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跨境电商生态圈培育工程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建设银川跨境电商综合试验区，培育发展银川综保区跨境电商产业园，建设跨境电商监管平台及综合服务平台，建立跨境电商信息共享、金融服务、智能物流、信用管理、风险防控体系。</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商务厅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发展改革委、工业和信息化厅、财政厅、市场监管厅</w:t>
            </w:r>
            <w:r>
              <w:rPr>
                <w:rFonts w:hint="eastAsia" w:ascii="Times New Roman" w:hAnsi="Times New Roman" w:eastAsia="仿宋_GB2312"/>
                <w:kern w:val="0"/>
                <w:szCs w:val="21"/>
              </w:rPr>
              <w:t>、</w:t>
            </w:r>
            <w:r>
              <w:rPr>
                <w:rFonts w:ascii="Times New Roman" w:hAnsi="Times New Roman" w:eastAsia="仿宋_GB2312"/>
                <w:kern w:val="0"/>
                <w:szCs w:val="21"/>
              </w:rPr>
              <w:t>地方金融监管局</w:t>
            </w:r>
            <w:r>
              <w:rPr>
                <w:rFonts w:hint="eastAsia" w:ascii="Times New Roman" w:hAnsi="Times New Roman" w:eastAsia="仿宋_GB2312"/>
                <w:kern w:val="0"/>
                <w:szCs w:val="21"/>
              </w:rPr>
              <w:t>、</w:t>
            </w:r>
            <w:r>
              <w:rPr>
                <w:rFonts w:ascii="Times New Roman" w:hAnsi="Times New Roman" w:eastAsia="仿宋_GB2312"/>
                <w:kern w:val="0"/>
                <w:szCs w:val="21"/>
              </w:rPr>
              <w:t>银川海关、宁夏税务局、宁夏外汇局，有关市县（区）</w:t>
            </w:r>
          </w:p>
        </w:tc>
      </w:tr>
      <w:tr>
        <w:tblPrEx>
          <w:tblCellMar>
            <w:top w:w="0" w:type="dxa"/>
            <w:left w:w="0" w:type="dxa"/>
            <w:bottom w:w="0" w:type="dxa"/>
            <w:right w:w="0" w:type="dxa"/>
          </w:tblCellMar>
        </w:tblPrEx>
        <w:trPr>
          <w:gridAfter w:val="1"/>
          <w:wAfter w:w="11" w:type="dxa"/>
          <w:trHeight w:val="1057"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73</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开放平台功能提升工程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建设中阿博览会云上展厅、云上交易平台、会展业大数据服务中心等数字化服务平台，提升宁夏e外贸数字贸易平台功能。</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商务厅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发展改革委、博览局</w:t>
            </w:r>
          </w:p>
        </w:tc>
      </w:tr>
      <w:tr>
        <w:tblPrEx>
          <w:tblCellMar>
            <w:top w:w="0" w:type="dxa"/>
            <w:left w:w="0" w:type="dxa"/>
            <w:bottom w:w="0" w:type="dxa"/>
            <w:right w:w="0" w:type="dxa"/>
          </w:tblCellMar>
        </w:tblPrEx>
        <w:trPr>
          <w:gridAfter w:val="1"/>
          <w:wAfter w:w="11" w:type="dxa"/>
          <w:trHeight w:val="480"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b/>
                <w:bCs/>
                <w:kern w:val="0"/>
                <w:szCs w:val="21"/>
              </w:rPr>
            </w:pPr>
            <w:r>
              <w:rPr>
                <w:rFonts w:ascii="Times New Roman" w:hAnsi="Times New Roman" w:eastAsia="仿宋_GB2312"/>
                <w:b/>
                <w:bCs/>
                <w:kern w:val="0"/>
                <w:szCs w:val="21"/>
              </w:rPr>
              <w:t>十五、乡村振兴重点工程项目</w:t>
            </w:r>
          </w:p>
        </w:tc>
      </w:tr>
      <w:tr>
        <w:tblPrEx>
          <w:tblCellMar>
            <w:top w:w="0" w:type="dxa"/>
            <w:left w:w="0" w:type="dxa"/>
            <w:bottom w:w="0" w:type="dxa"/>
            <w:right w:w="0" w:type="dxa"/>
          </w:tblCellMar>
        </w:tblPrEx>
        <w:trPr>
          <w:gridAfter w:val="1"/>
          <w:wAfter w:w="11" w:type="dxa"/>
          <w:trHeight w:val="1024"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74</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高标准农田建设工程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实施土地平整、盐碱地治理、土壤改良、灌溉与排水、田间道路、农田输配电、科技服务等，新建高标准农田300万亩，提质改造300万亩。</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农业农村厅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jc w:val="center"/>
              <w:rPr>
                <w:rFonts w:ascii="Times New Roman" w:hAnsi="Times New Roman" w:eastAsia="仿宋_GB2312"/>
                <w:kern w:val="0"/>
                <w:szCs w:val="21"/>
              </w:rPr>
            </w:pPr>
            <w:r>
              <w:rPr>
                <w:rFonts w:ascii="Times New Roman" w:hAnsi="Times New Roman" w:eastAsia="仿宋_GB2312"/>
                <w:kern w:val="0"/>
                <w:szCs w:val="21"/>
              </w:rPr>
              <w:t>发展改革委、科技厅、</w:t>
            </w:r>
          </w:p>
          <w:p>
            <w:pPr>
              <w:jc w:val="center"/>
              <w:rPr>
                <w:rFonts w:ascii="Times New Roman" w:hAnsi="Times New Roman" w:eastAsia="仿宋_GB2312"/>
                <w:kern w:val="0"/>
                <w:szCs w:val="21"/>
              </w:rPr>
            </w:pPr>
            <w:r>
              <w:rPr>
                <w:rFonts w:ascii="Times New Roman" w:hAnsi="Times New Roman" w:eastAsia="仿宋_GB2312"/>
                <w:kern w:val="0"/>
                <w:szCs w:val="21"/>
              </w:rPr>
              <w:t>财政厅、水利厅，</w:t>
            </w:r>
          </w:p>
          <w:p>
            <w:pPr>
              <w:jc w:val="center"/>
              <w:rPr>
                <w:rFonts w:ascii="Times New Roman" w:hAnsi="Times New Roman" w:eastAsia="仿宋_GB2312"/>
                <w:szCs w:val="21"/>
              </w:rPr>
            </w:pPr>
            <w:r>
              <w:rPr>
                <w:rFonts w:ascii="Times New Roman" w:hAnsi="Times New Roman" w:eastAsia="仿宋_GB2312"/>
                <w:kern w:val="0"/>
                <w:szCs w:val="21"/>
              </w:rPr>
              <w:t>有关市县（区）</w:t>
            </w:r>
          </w:p>
        </w:tc>
      </w:tr>
      <w:tr>
        <w:tblPrEx>
          <w:tblCellMar>
            <w:top w:w="0" w:type="dxa"/>
            <w:left w:w="0" w:type="dxa"/>
            <w:bottom w:w="0" w:type="dxa"/>
            <w:right w:w="0" w:type="dxa"/>
          </w:tblCellMar>
        </w:tblPrEx>
        <w:trPr>
          <w:gridAfter w:val="1"/>
          <w:wAfter w:w="11" w:type="dxa"/>
          <w:trHeight w:val="826"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75</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粮食储备生产基地建设工程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在引黄灌区产粮大县每年建设储备小麦生产基地、优质稻谷生产基地各10万亩。</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粮食和物资储备局</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发展改革委、财政厅、农业农村厅，有关市县（区）</w:t>
            </w:r>
          </w:p>
        </w:tc>
      </w:tr>
      <w:tr>
        <w:tblPrEx>
          <w:tblCellMar>
            <w:top w:w="0" w:type="dxa"/>
            <w:left w:w="0" w:type="dxa"/>
            <w:bottom w:w="0" w:type="dxa"/>
            <w:right w:w="0" w:type="dxa"/>
          </w:tblCellMar>
        </w:tblPrEx>
        <w:trPr>
          <w:gridBefore w:val="1"/>
          <w:wBefore w:w="11" w:type="dxa"/>
          <w:trHeight w:val="45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1482"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76</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动植物保护能力提升工程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建设全国农作物病虫疫情宁夏分中心（省级）田间监测点52个、动物卫生监督检查站20个、属地病死畜禽无害化处理厂（中心）5个、规范化动物检疫申报点240个。</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农业农村厅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jc w:val="center"/>
              <w:rPr>
                <w:rFonts w:ascii="Times New Roman" w:hAnsi="Times New Roman" w:eastAsia="仿宋_GB2312"/>
                <w:szCs w:val="21"/>
              </w:rPr>
            </w:pPr>
            <w:r>
              <w:rPr>
                <w:rFonts w:ascii="Times New Roman" w:hAnsi="Times New Roman" w:eastAsia="仿宋_GB2312"/>
                <w:kern w:val="0"/>
                <w:szCs w:val="21"/>
              </w:rPr>
              <w:t>发展改革委、财政厅</w:t>
            </w:r>
          </w:p>
        </w:tc>
      </w:tr>
      <w:tr>
        <w:tblPrEx>
          <w:tblCellMar>
            <w:top w:w="0" w:type="dxa"/>
            <w:left w:w="0" w:type="dxa"/>
            <w:bottom w:w="0" w:type="dxa"/>
            <w:right w:w="0" w:type="dxa"/>
          </w:tblCellMar>
        </w:tblPrEx>
        <w:trPr>
          <w:gridAfter w:val="1"/>
          <w:wAfter w:w="11" w:type="dxa"/>
          <w:trHeight w:val="1412"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77</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产业兴村强镇工程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szCs w:val="21"/>
              </w:rPr>
              <w:t>围绕培育乡土经济、乡村产业，规范壮大产业生产经营市场主体，创新农民产业参与共享机制，培育建设10个主导产业突出、特色明显、产业融合、产村融合、城乡融合发展的宜居宜业产业强镇。</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农业农村厅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jc w:val="center"/>
              <w:rPr>
                <w:rFonts w:ascii="Times New Roman" w:hAnsi="Times New Roman" w:eastAsia="仿宋_GB2312"/>
                <w:szCs w:val="21"/>
              </w:rPr>
            </w:pPr>
            <w:r>
              <w:rPr>
                <w:rFonts w:ascii="Times New Roman" w:hAnsi="Times New Roman" w:eastAsia="仿宋_GB2312"/>
                <w:kern w:val="0"/>
                <w:szCs w:val="21"/>
              </w:rPr>
              <w:t>发展改革委、财政厅</w:t>
            </w:r>
          </w:p>
        </w:tc>
      </w:tr>
      <w:tr>
        <w:tblPrEx>
          <w:tblCellMar>
            <w:top w:w="0" w:type="dxa"/>
            <w:left w:w="0" w:type="dxa"/>
            <w:bottom w:w="0" w:type="dxa"/>
            <w:right w:w="0" w:type="dxa"/>
          </w:tblCellMar>
        </w:tblPrEx>
        <w:trPr>
          <w:gridAfter w:val="1"/>
          <w:wAfter w:w="11" w:type="dxa"/>
          <w:trHeight w:val="1086"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78</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农村一二三产业融合示范工程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聚焦农业优势主导产业，每年创建1个以上国家现代农业产业园，支持建设一批产业融合发展示范园，培育发展20个旅游乡村。</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jc w:val="center"/>
              <w:rPr>
                <w:rFonts w:ascii="Times New Roman" w:hAnsi="Times New Roman" w:eastAsia="仿宋_GB2312"/>
                <w:kern w:val="0"/>
                <w:szCs w:val="21"/>
              </w:rPr>
            </w:pPr>
            <w:r>
              <w:rPr>
                <w:rFonts w:ascii="Times New Roman" w:hAnsi="Times New Roman" w:eastAsia="仿宋_GB2312"/>
                <w:kern w:val="0"/>
                <w:szCs w:val="21"/>
              </w:rPr>
              <w:t>科技厅、农业农村厅、</w:t>
            </w:r>
          </w:p>
          <w:p>
            <w:pPr>
              <w:jc w:val="center"/>
              <w:rPr>
                <w:rFonts w:ascii="Times New Roman" w:hAnsi="Times New Roman" w:eastAsia="仿宋_GB2312"/>
                <w:szCs w:val="21"/>
              </w:rPr>
            </w:pPr>
            <w:r>
              <w:rPr>
                <w:rFonts w:ascii="Times New Roman" w:hAnsi="Times New Roman" w:eastAsia="仿宋_GB2312"/>
                <w:kern w:val="0"/>
                <w:szCs w:val="21"/>
              </w:rPr>
              <w:t>文化和旅游厅</w:t>
            </w:r>
          </w:p>
        </w:tc>
      </w:tr>
      <w:tr>
        <w:tblPrEx>
          <w:tblCellMar>
            <w:top w:w="0" w:type="dxa"/>
            <w:left w:w="0" w:type="dxa"/>
            <w:bottom w:w="0" w:type="dxa"/>
            <w:right w:w="0" w:type="dxa"/>
          </w:tblCellMar>
        </w:tblPrEx>
        <w:trPr>
          <w:gridAfter w:val="1"/>
          <w:wAfter w:w="11" w:type="dxa"/>
          <w:trHeight w:val="114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79</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农村基础设施提升工程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实施农村公路改造升级及自然村道路硬化2000公里；巩固提升农村供水管网，集中供水保证率达到95%以上；实施农村电网提质和信息入户工程。</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农业农村厅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交通运输厅、水利厅、住房城乡建设厅</w:t>
            </w:r>
            <w:r>
              <w:rPr>
                <w:rFonts w:hint="eastAsia" w:ascii="Times New Roman" w:hAnsi="Times New Roman" w:eastAsia="仿宋_GB2312"/>
                <w:kern w:val="0"/>
                <w:szCs w:val="21"/>
              </w:rPr>
              <w:t>、宁夏</w:t>
            </w:r>
            <w:r>
              <w:rPr>
                <w:rFonts w:ascii="Times New Roman" w:hAnsi="Times New Roman" w:eastAsia="仿宋_GB2312"/>
                <w:kern w:val="0"/>
                <w:szCs w:val="21"/>
              </w:rPr>
              <w:t>通信管理局、国网宁夏电力</w:t>
            </w:r>
            <w:r>
              <w:rPr>
                <w:rFonts w:hint="eastAsia" w:ascii="Times New Roman" w:hAnsi="Times New Roman" w:eastAsia="仿宋_GB2312"/>
                <w:kern w:val="0"/>
                <w:szCs w:val="21"/>
              </w:rPr>
              <w:t>有限</w:t>
            </w:r>
            <w:r>
              <w:rPr>
                <w:rFonts w:ascii="Times New Roman" w:hAnsi="Times New Roman" w:eastAsia="仿宋_GB2312"/>
                <w:kern w:val="0"/>
                <w:szCs w:val="21"/>
              </w:rPr>
              <w:t>公司</w:t>
            </w:r>
          </w:p>
        </w:tc>
      </w:tr>
      <w:tr>
        <w:tblPrEx>
          <w:tblCellMar>
            <w:top w:w="0" w:type="dxa"/>
            <w:left w:w="0" w:type="dxa"/>
            <w:bottom w:w="0" w:type="dxa"/>
            <w:right w:w="0" w:type="dxa"/>
          </w:tblCellMar>
        </w:tblPrEx>
        <w:trPr>
          <w:gridAfter w:val="1"/>
          <w:wAfter w:w="11" w:type="dxa"/>
          <w:trHeight w:val="84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80</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美丽宜居乡村建设工程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保护自治区级传统村落20个，建设高质量美丽村庄250个，改造抗震宜居农房4万户。</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住房城乡建设厅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jc w:val="center"/>
              <w:rPr>
                <w:rFonts w:ascii="Times New Roman" w:hAnsi="Times New Roman" w:eastAsia="仿宋_GB2312"/>
                <w:kern w:val="0"/>
                <w:szCs w:val="21"/>
              </w:rPr>
            </w:pPr>
            <w:r>
              <w:rPr>
                <w:rFonts w:ascii="Times New Roman" w:hAnsi="Times New Roman" w:eastAsia="仿宋_GB2312"/>
                <w:kern w:val="0"/>
                <w:szCs w:val="21"/>
              </w:rPr>
              <w:t>财政厅、自然资源厅、</w:t>
            </w:r>
          </w:p>
          <w:p>
            <w:pPr>
              <w:jc w:val="center"/>
              <w:rPr>
                <w:rFonts w:ascii="Times New Roman" w:hAnsi="Times New Roman" w:eastAsia="仿宋_GB2312"/>
                <w:szCs w:val="21"/>
              </w:rPr>
            </w:pPr>
            <w:r>
              <w:rPr>
                <w:rFonts w:ascii="Times New Roman" w:hAnsi="Times New Roman" w:eastAsia="仿宋_GB2312"/>
                <w:kern w:val="0"/>
                <w:szCs w:val="21"/>
              </w:rPr>
              <w:t>农业农村厅</w:t>
            </w:r>
          </w:p>
        </w:tc>
      </w:tr>
      <w:tr>
        <w:tblPrEx>
          <w:tblCellMar>
            <w:top w:w="0" w:type="dxa"/>
            <w:left w:w="0" w:type="dxa"/>
            <w:bottom w:w="0" w:type="dxa"/>
            <w:right w:w="0" w:type="dxa"/>
          </w:tblCellMar>
        </w:tblPrEx>
        <w:trPr>
          <w:gridAfter w:val="1"/>
          <w:wAfter w:w="11" w:type="dxa"/>
          <w:trHeight w:val="2305"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81</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农村人居环境整治提升五年行动</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spacing w:val="6"/>
                <w:kern w:val="0"/>
                <w:szCs w:val="21"/>
              </w:rPr>
              <w:t>城市近郊等有基础、有条件的乡村，生活垃圾全面有效处置并开展分类处理试点示范，卫生厕所全面普及，污水处理全面达标；有较好基础、基本具备条件的乡村，基本实现生活垃圾处置体系全覆盖，基本完成户用厕所改造；地处偏远的乡村生活垃圾基本得到治理，卫生厕所普及率达到85%左右。</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农业农村厅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发展改革委、生态环境厅、住房城乡建设厅</w:t>
            </w:r>
          </w:p>
        </w:tc>
      </w:tr>
      <w:tr>
        <w:tblPrEx>
          <w:tblCellMar>
            <w:top w:w="0" w:type="dxa"/>
            <w:left w:w="0" w:type="dxa"/>
            <w:bottom w:w="0" w:type="dxa"/>
            <w:right w:w="0" w:type="dxa"/>
          </w:tblCellMar>
        </w:tblPrEx>
        <w:trPr>
          <w:gridBefore w:val="1"/>
          <w:wBefore w:w="11" w:type="dxa"/>
          <w:trHeight w:val="377"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pacing w:val="6"/>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404"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b/>
                <w:bCs/>
                <w:kern w:val="0"/>
                <w:szCs w:val="21"/>
              </w:rPr>
            </w:pPr>
            <w:r>
              <w:rPr>
                <w:rFonts w:ascii="Times New Roman" w:hAnsi="Times New Roman" w:eastAsia="仿宋_GB2312"/>
                <w:b/>
                <w:bCs/>
                <w:kern w:val="0"/>
                <w:szCs w:val="21"/>
              </w:rPr>
              <w:t>十六、城市更新行动重点工程项目</w:t>
            </w:r>
          </w:p>
        </w:tc>
      </w:tr>
      <w:tr>
        <w:tblPrEx>
          <w:tblCellMar>
            <w:top w:w="0" w:type="dxa"/>
            <w:left w:w="0" w:type="dxa"/>
            <w:bottom w:w="0" w:type="dxa"/>
            <w:right w:w="0" w:type="dxa"/>
          </w:tblCellMar>
        </w:tblPrEx>
        <w:trPr>
          <w:gridAfter w:val="1"/>
          <w:wAfter w:w="11" w:type="dxa"/>
          <w:trHeight w:val="1025"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82</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保障性安居工程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基本完成2000年前建成的城镇老旧小区改造，推进2005年底前建成的老旧小区改造；完成棚户区住房改造2万套。</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住房城乡建设厅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发展改革委、财政厅</w:t>
            </w:r>
          </w:p>
        </w:tc>
      </w:tr>
      <w:tr>
        <w:tblPrEx>
          <w:tblCellMar>
            <w:top w:w="0" w:type="dxa"/>
            <w:left w:w="0" w:type="dxa"/>
            <w:bottom w:w="0" w:type="dxa"/>
            <w:right w:w="0" w:type="dxa"/>
          </w:tblCellMar>
        </w:tblPrEx>
        <w:trPr>
          <w:gridAfter w:val="1"/>
          <w:wAfter w:w="11" w:type="dxa"/>
          <w:trHeight w:val="1699"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83</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城市生态环境改善工程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新建改建提质城市生活污水处理厂17座，完善城市生活垃圾分类和建筑垃圾、餐厨垃圾等收转运体系，实现县城以上城市污水垃圾全收集全处理；推进街头和小区绿地、小微公园、市民森林公园建设，创建国家园林城市（县城）15个以上。</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住房城乡建设厅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jc w:val="center"/>
              <w:rPr>
                <w:rFonts w:ascii="Times New Roman" w:hAnsi="Times New Roman" w:eastAsia="仿宋_GB2312"/>
                <w:szCs w:val="21"/>
              </w:rPr>
            </w:pPr>
            <w:r>
              <w:rPr>
                <w:rFonts w:ascii="Times New Roman" w:hAnsi="Times New Roman" w:eastAsia="仿宋_GB2312"/>
                <w:szCs w:val="21"/>
              </w:rPr>
              <w:t>发展改革委、财政厅、</w:t>
            </w:r>
          </w:p>
          <w:p>
            <w:pPr>
              <w:jc w:val="center"/>
              <w:rPr>
                <w:rFonts w:ascii="Times New Roman" w:hAnsi="Times New Roman" w:eastAsia="仿宋_GB2312"/>
                <w:szCs w:val="21"/>
              </w:rPr>
            </w:pPr>
            <w:r>
              <w:rPr>
                <w:rFonts w:ascii="Times New Roman" w:hAnsi="Times New Roman" w:eastAsia="仿宋_GB2312"/>
                <w:szCs w:val="21"/>
              </w:rPr>
              <w:t>生态环境厅、林草局</w:t>
            </w:r>
          </w:p>
        </w:tc>
      </w:tr>
      <w:tr>
        <w:tblPrEx>
          <w:tblCellMar>
            <w:top w:w="0" w:type="dxa"/>
            <w:left w:w="0" w:type="dxa"/>
            <w:bottom w:w="0" w:type="dxa"/>
            <w:right w:w="0" w:type="dxa"/>
          </w:tblCellMar>
        </w:tblPrEx>
        <w:trPr>
          <w:gridAfter w:val="1"/>
          <w:wAfter w:w="11" w:type="dxa"/>
          <w:trHeight w:val="2304"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84</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城市功能完善工程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spacing w:val="6"/>
                <w:kern w:val="0"/>
                <w:szCs w:val="21"/>
              </w:rPr>
              <w:t>推进银川东热西送二期、固原城市集中供热热源、吴忠供热管网改造等项目，实现县级以上城市集中供热全覆盖；以打通城市断头路、畅通城市出入口及老城区街巷改造为重点，改造提升城市道路，完善城市慢行系统和公共停车场设施；建设城市供气管网改造和户户通、城市雨污分流和排水防涝设施改造工程，实施固原全域海绵城市推广项目</w:t>
            </w:r>
            <w:r>
              <w:rPr>
                <w:rFonts w:ascii="Times New Roman" w:hAnsi="Times New Roman" w:eastAsia="仿宋_GB2312"/>
                <w:kern w:val="0"/>
                <w:szCs w:val="21"/>
              </w:rPr>
              <w:t>。</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住房城乡建设厅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szCs w:val="21"/>
              </w:rPr>
              <w:t>发展改革委、财政厅、</w:t>
            </w:r>
          </w:p>
          <w:p>
            <w:pPr>
              <w:widowControl/>
              <w:jc w:val="center"/>
              <w:textAlignment w:val="center"/>
              <w:rPr>
                <w:rFonts w:ascii="Times New Roman" w:hAnsi="Times New Roman" w:eastAsia="仿宋_GB2312"/>
                <w:szCs w:val="21"/>
              </w:rPr>
            </w:pPr>
            <w:r>
              <w:rPr>
                <w:rFonts w:ascii="Times New Roman" w:hAnsi="Times New Roman" w:eastAsia="仿宋_GB2312"/>
                <w:szCs w:val="21"/>
              </w:rPr>
              <w:t>交通运输厅</w:t>
            </w:r>
            <w:r>
              <w:rPr>
                <w:rFonts w:hint="eastAsia" w:ascii="Times New Roman" w:hAnsi="Times New Roman" w:eastAsia="仿宋_GB2312"/>
                <w:szCs w:val="21"/>
              </w:rPr>
              <w:t>、</w:t>
            </w:r>
            <w:r>
              <w:rPr>
                <w:rFonts w:ascii="Times New Roman" w:hAnsi="Times New Roman" w:eastAsia="仿宋_GB2312"/>
                <w:szCs w:val="21"/>
              </w:rPr>
              <w:t>银川市、</w:t>
            </w:r>
          </w:p>
          <w:p>
            <w:pPr>
              <w:widowControl/>
              <w:jc w:val="center"/>
              <w:textAlignment w:val="center"/>
              <w:rPr>
                <w:rFonts w:ascii="Times New Roman" w:hAnsi="Times New Roman" w:eastAsia="仿宋_GB2312"/>
                <w:szCs w:val="21"/>
              </w:rPr>
            </w:pPr>
            <w:r>
              <w:rPr>
                <w:rFonts w:ascii="Times New Roman" w:hAnsi="Times New Roman" w:eastAsia="仿宋_GB2312"/>
                <w:szCs w:val="21"/>
              </w:rPr>
              <w:t>石嘴山市、吴忠市、固原市、中卫市</w:t>
            </w:r>
          </w:p>
        </w:tc>
      </w:tr>
      <w:tr>
        <w:tblPrEx>
          <w:tblCellMar>
            <w:top w:w="0" w:type="dxa"/>
            <w:left w:w="0" w:type="dxa"/>
            <w:bottom w:w="0" w:type="dxa"/>
            <w:right w:w="0" w:type="dxa"/>
          </w:tblCellMar>
        </w:tblPrEx>
        <w:trPr>
          <w:gridAfter w:val="1"/>
          <w:wAfter w:w="11" w:type="dxa"/>
          <w:trHeight w:val="1055"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85</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城市历史文化保护工程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对城市中具有历史文化价值的街区、建筑及其影响地段的传统格局和风貌进行保护修复，推进城市历史文化遗产活化利用。</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住房城乡建设厅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发展改革委、文化和旅游厅</w:t>
            </w:r>
          </w:p>
        </w:tc>
      </w:tr>
      <w:tr>
        <w:tblPrEx>
          <w:tblCellMar>
            <w:top w:w="0" w:type="dxa"/>
            <w:left w:w="0" w:type="dxa"/>
            <w:bottom w:w="0" w:type="dxa"/>
            <w:right w:w="0" w:type="dxa"/>
          </w:tblCellMar>
        </w:tblPrEx>
        <w:trPr>
          <w:gridAfter w:val="1"/>
          <w:wAfter w:w="11" w:type="dxa"/>
          <w:trHeight w:val="1702"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86</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县城补短板强弱项工程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实施县城公共设施和服务能力提升、公共服务设施提标扩面、环境卫生设施提级扩能、市政公用设施提档升级、产业培育设施提质增效项目，优化完善县城教育医疗、养老托育、市政交通、产业平台配套等设施。</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szCs w:val="21"/>
              </w:rPr>
              <w:t>发展改革委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住房城乡建设厅、</w:t>
            </w:r>
            <w:r>
              <w:rPr>
                <w:rFonts w:ascii="Times New Roman" w:hAnsi="Times New Roman" w:eastAsia="仿宋_GB2312"/>
                <w:szCs w:val="21"/>
              </w:rPr>
              <w:t>教育厅、工业和信息化厅、民政厅、财政厅、卫生健康委</w:t>
            </w:r>
          </w:p>
        </w:tc>
      </w:tr>
      <w:tr>
        <w:tblPrEx>
          <w:tblCellMar>
            <w:top w:w="0" w:type="dxa"/>
            <w:left w:w="0" w:type="dxa"/>
            <w:bottom w:w="0" w:type="dxa"/>
            <w:right w:w="0" w:type="dxa"/>
          </w:tblCellMar>
        </w:tblPrEx>
        <w:trPr>
          <w:gridBefore w:val="1"/>
          <w:wBefore w:w="11" w:type="dxa"/>
          <w:trHeight w:val="445"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100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87</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特色小（城）镇建设工程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围绕自治区9大主导产业，突出特色服务，发展培育商贸物流型、文化旅游型、资源加工型等特色小镇15个左右；建设重点小城镇40个。</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住房城乡建设厅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发展改革委、工业和信息化厅、农业农村厅、商务厅、文化和旅游厅</w:t>
            </w:r>
          </w:p>
        </w:tc>
      </w:tr>
      <w:tr>
        <w:tblPrEx>
          <w:tblCellMar>
            <w:top w:w="0" w:type="dxa"/>
            <w:left w:w="0" w:type="dxa"/>
            <w:bottom w:w="0" w:type="dxa"/>
            <w:right w:w="0" w:type="dxa"/>
          </w:tblCellMar>
        </w:tblPrEx>
        <w:trPr>
          <w:gridAfter w:val="1"/>
          <w:wAfter w:w="11" w:type="dxa"/>
          <w:trHeight w:val="439"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b/>
                <w:bCs/>
                <w:kern w:val="0"/>
                <w:szCs w:val="21"/>
              </w:rPr>
            </w:pPr>
            <w:r>
              <w:rPr>
                <w:rFonts w:ascii="Times New Roman" w:hAnsi="Times New Roman" w:eastAsia="仿宋_GB2312"/>
                <w:b/>
                <w:bCs/>
                <w:kern w:val="0"/>
                <w:szCs w:val="21"/>
              </w:rPr>
              <w:t>十七、文化旅游发展重点工程项目</w:t>
            </w:r>
          </w:p>
        </w:tc>
      </w:tr>
      <w:tr>
        <w:tblPrEx>
          <w:tblCellMar>
            <w:top w:w="0" w:type="dxa"/>
            <w:left w:w="0" w:type="dxa"/>
            <w:bottom w:w="0" w:type="dxa"/>
            <w:right w:w="0" w:type="dxa"/>
          </w:tblCellMar>
        </w:tblPrEx>
        <w:trPr>
          <w:gridAfter w:val="1"/>
          <w:wAfter w:w="11" w:type="dxa"/>
          <w:trHeight w:val="172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88</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铸魂工程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spacing w:val="-6"/>
                <w:kern w:val="0"/>
                <w:szCs w:val="21"/>
              </w:rPr>
              <w:t>实施中华民族共同体意识普及行动，开展马克思主</w:t>
            </w:r>
            <w:r>
              <w:rPr>
                <w:rFonts w:hint="eastAsia" w:ascii="仿宋_GB2312" w:hAnsi="仿宋_GB2312" w:eastAsia="仿宋_GB2312" w:cs="仿宋_GB2312"/>
                <w:spacing w:val="-6"/>
                <w:kern w:val="0"/>
                <w:szCs w:val="21"/>
              </w:rPr>
              <w:t>义“五观”大宣讲、“黄河水甜、共产党亲”主</w:t>
            </w:r>
            <w:r>
              <w:rPr>
                <w:rFonts w:ascii="Times New Roman" w:hAnsi="Times New Roman" w:eastAsia="仿宋_GB2312"/>
                <w:spacing w:val="-6"/>
                <w:kern w:val="0"/>
                <w:szCs w:val="21"/>
              </w:rPr>
              <w:t>题教育和民族团结进步创建互观互检活动，建设民族团结进步教育基地，推进一批体现中华民族共同体意识、具有中华文化特征、彰显中华民族视觉形象的项目，创作一批各族群众喜闻乐见的优秀文艺作品</w:t>
            </w:r>
            <w:r>
              <w:rPr>
                <w:rFonts w:ascii="Times New Roman" w:hAnsi="Times New Roman" w:eastAsia="仿宋_GB2312"/>
                <w:kern w:val="0"/>
                <w:szCs w:val="21"/>
              </w:rPr>
              <w:t>。</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党委统战部</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党委宣传部、民委、教育厅、文化和旅游厅</w:t>
            </w:r>
          </w:p>
        </w:tc>
      </w:tr>
      <w:tr>
        <w:tblPrEx>
          <w:tblCellMar>
            <w:top w:w="0" w:type="dxa"/>
            <w:left w:w="0" w:type="dxa"/>
            <w:bottom w:w="0" w:type="dxa"/>
            <w:right w:w="0" w:type="dxa"/>
          </w:tblCellMar>
        </w:tblPrEx>
        <w:trPr>
          <w:gridAfter w:val="1"/>
          <w:wAfter w:w="11" w:type="dxa"/>
          <w:trHeight w:val="1452"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89</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国家文化公园建设工程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实施保护传承、研究发掘、环境配套、文旅融合、数字再现等五大基础工程，建设长城国家文化公园、长征国家文化公园、黄河国家文化公园，实施宁夏引黄古灌区世界灌溉工程遗产公园、展示中心等项目。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党委宣传部、</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文化和旅游厅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自然资源厅、生态环境厅、住房城乡建设厅、水利厅、农业农村厅</w:t>
            </w:r>
          </w:p>
        </w:tc>
      </w:tr>
      <w:tr>
        <w:tblPrEx>
          <w:tblCellMar>
            <w:top w:w="0" w:type="dxa"/>
            <w:left w:w="0" w:type="dxa"/>
            <w:bottom w:w="0" w:type="dxa"/>
            <w:right w:w="0" w:type="dxa"/>
          </w:tblCellMar>
        </w:tblPrEx>
        <w:trPr>
          <w:gridAfter w:val="1"/>
          <w:wAfter w:w="11" w:type="dxa"/>
          <w:trHeight w:val="2261"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90</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公共文化服务体系建设工程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实施宁夏广播电视传输发射基地迁建项目，实施公共数字文化建设工程，推动数字文化馆、智慧图书馆和数字博物馆建设。建设宁夏青少年活动中心，实施固原博物馆改造提升工程，实施县级文化馆、图书馆、工人文化宫、乡镇综合文化站达标升级工程。建设一批爱国主义教育基地、新时代文明实践中心。</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文化和旅游厅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党委宣传部、发展改革委、财政厅、住房城乡建设厅、农业农村厅</w:t>
            </w:r>
            <w:r>
              <w:rPr>
                <w:rFonts w:hint="eastAsia" w:ascii="Times New Roman" w:hAnsi="Times New Roman" w:eastAsia="仿宋_GB2312"/>
                <w:kern w:val="0"/>
                <w:szCs w:val="21"/>
              </w:rPr>
              <w:t>、</w:t>
            </w:r>
            <w:r>
              <w:rPr>
                <w:rFonts w:ascii="Times New Roman" w:hAnsi="Times New Roman" w:eastAsia="仿宋_GB2312"/>
                <w:kern w:val="0"/>
                <w:szCs w:val="21"/>
              </w:rPr>
              <w:t>团委</w:t>
            </w:r>
            <w:r>
              <w:rPr>
                <w:rFonts w:hint="eastAsia" w:ascii="Times New Roman" w:hAnsi="Times New Roman" w:eastAsia="仿宋_GB2312"/>
                <w:kern w:val="0"/>
                <w:szCs w:val="21"/>
              </w:rPr>
              <w:t>、</w:t>
            </w:r>
            <w:r>
              <w:rPr>
                <w:rFonts w:ascii="Times New Roman" w:hAnsi="Times New Roman" w:eastAsia="仿宋_GB2312"/>
                <w:kern w:val="0"/>
                <w:szCs w:val="21"/>
              </w:rPr>
              <w:t>宁夏广播电视台</w:t>
            </w:r>
            <w:r>
              <w:rPr>
                <w:rFonts w:hint="eastAsia" w:ascii="Times New Roman" w:hAnsi="Times New Roman" w:eastAsia="仿宋_GB2312"/>
                <w:kern w:val="0"/>
                <w:szCs w:val="21"/>
              </w:rPr>
              <w:t>、</w:t>
            </w:r>
            <w:r>
              <w:rPr>
                <w:rFonts w:ascii="Times New Roman" w:hAnsi="Times New Roman" w:eastAsia="仿宋_GB2312"/>
                <w:kern w:val="0"/>
                <w:szCs w:val="21"/>
              </w:rPr>
              <w:t>固原市</w:t>
            </w:r>
          </w:p>
        </w:tc>
      </w:tr>
      <w:tr>
        <w:tblPrEx>
          <w:tblCellMar>
            <w:top w:w="0" w:type="dxa"/>
            <w:left w:w="0" w:type="dxa"/>
            <w:bottom w:w="0" w:type="dxa"/>
            <w:right w:w="0" w:type="dxa"/>
          </w:tblCellMar>
        </w:tblPrEx>
        <w:trPr>
          <w:gridAfter w:val="1"/>
          <w:wAfter w:w="11" w:type="dxa"/>
          <w:trHeight w:val="127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91</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重点文物保护工程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保护修缮须弥山石窟、石空寺石窟、明长城中卫胜金关段、石嘴山红果子段、银川磨石口长城、雷记沟革命旧址，开展姚河塬遗址、水洞沟遗址、张家场城址考古发掘和罗山区域、六盘山西麓考古调查。</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文化和旅游厅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szCs w:val="21"/>
              </w:rPr>
              <w:t>财政厅、自然资源厅</w:t>
            </w:r>
          </w:p>
        </w:tc>
      </w:tr>
      <w:tr>
        <w:tblPrEx>
          <w:tblCellMar>
            <w:top w:w="0" w:type="dxa"/>
            <w:left w:w="0" w:type="dxa"/>
            <w:bottom w:w="0" w:type="dxa"/>
            <w:right w:w="0" w:type="dxa"/>
          </w:tblCellMar>
        </w:tblPrEx>
        <w:trPr>
          <w:gridBefore w:val="1"/>
          <w:wBefore w:w="11" w:type="dxa"/>
          <w:trHeight w:val="377"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9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92</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文化旅游融合发展工程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10" w:lineRule="exact"/>
              <w:textAlignment w:val="center"/>
              <w:rPr>
                <w:rFonts w:ascii="Times New Roman" w:hAnsi="Times New Roman" w:eastAsia="仿宋_GB2312"/>
                <w:szCs w:val="21"/>
              </w:rPr>
            </w:pPr>
            <w:r>
              <w:rPr>
                <w:rFonts w:ascii="Times New Roman" w:hAnsi="Times New Roman" w:eastAsia="仿宋_GB2312"/>
                <w:kern w:val="0"/>
                <w:szCs w:val="21"/>
              </w:rPr>
              <w:t>实施银川黄河文化艺术生态小镇项目，建设集艺术学院、黄河文化和非遗传承、康养度假、都市生态农业、生态环境修复治理为一体的综合性文化艺术生态小镇。实施沙坡头、沙湖、镇北堡西部影视城、水洞沟、六盘山红军长征旅游区、青铜峡黄河大峡谷等景区基础设施和产品提升工程，推进贺兰山东麓、沙坡头、沙湖国家级旅游度假区建设，建成一批智慧旅游景区、度假区。实施游客集散中心、自驾车营地等旅游公共服务设施建设项目，建设一批文旅产业融合发展示范区、夜间文化旅游消费集聚区，打造一批文化旅游名镇、名村。</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文化和旅游厅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自然资源厅、生态环境厅、住房城乡建设厅、商务厅</w:t>
            </w:r>
          </w:p>
        </w:tc>
      </w:tr>
      <w:tr>
        <w:tblPrEx>
          <w:tblCellMar>
            <w:top w:w="0" w:type="dxa"/>
            <w:left w:w="0" w:type="dxa"/>
            <w:bottom w:w="0" w:type="dxa"/>
            <w:right w:w="0" w:type="dxa"/>
          </w:tblCellMar>
        </w:tblPrEx>
        <w:trPr>
          <w:gridAfter w:val="1"/>
          <w:wAfter w:w="11" w:type="dxa"/>
          <w:trHeight w:val="348"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10" w:lineRule="exact"/>
              <w:jc w:val="left"/>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十八、生态系统保护修复重点工程项目</w:t>
            </w:r>
          </w:p>
        </w:tc>
      </w:tr>
      <w:tr>
        <w:tblPrEx>
          <w:tblCellMar>
            <w:top w:w="0" w:type="dxa"/>
            <w:left w:w="0" w:type="dxa"/>
            <w:bottom w:w="0" w:type="dxa"/>
            <w:right w:w="0" w:type="dxa"/>
          </w:tblCellMar>
        </w:tblPrEx>
        <w:trPr>
          <w:gridAfter w:val="1"/>
          <w:wAfter w:w="11" w:type="dxa"/>
          <w:trHeight w:val="1885"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93</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自然保护地生态修复工程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10" w:lineRule="exact"/>
              <w:textAlignment w:val="center"/>
              <w:rPr>
                <w:rFonts w:ascii="Times New Roman" w:hAnsi="Times New Roman" w:eastAsia="仿宋_GB2312"/>
                <w:szCs w:val="21"/>
              </w:rPr>
            </w:pPr>
            <w:r>
              <w:rPr>
                <w:rFonts w:ascii="Times New Roman" w:hAnsi="Times New Roman" w:eastAsia="仿宋_GB2312"/>
                <w:kern w:val="0"/>
                <w:szCs w:val="21"/>
              </w:rPr>
              <w:t>实施贺兰山、白芨滩、哈巴湖、罗山、沙坡头、南华山、云雾山、火石寨、六盘山9个国家级自然保护区生态保护和修复项目，修复保护面积80万亩，森林质量精准提升20万亩；实施生物多样性保护工程，完善和提升自然保护区资源管护、科研监测、应急防灾等设施体系。</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林草局</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自然资源厅、生态环境厅</w:t>
            </w:r>
          </w:p>
        </w:tc>
      </w:tr>
      <w:tr>
        <w:tblPrEx>
          <w:tblCellMar>
            <w:top w:w="0" w:type="dxa"/>
            <w:left w:w="0" w:type="dxa"/>
            <w:bottom w:w="0" w:type="dxa"/>
            <w:right w:w="0" w:type="dxa"/>
          </w:tblCellMar>
        </w:tblPrEx>
        <w:trPr>
          <w:gridAfter w:val="1"/>
          <w:wAfter w:w="11" w:type="dxa"/>
          <w:trHeight w:val="1221"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94</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北部防护林建设工程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10" w:lineRule="exact"/>
              <w:textAlignment w:val="center"/>
              <w:rPr>
                <w:rFonts w:ascii="Times New Roman" w:hAnsi="Times New Roman" w:eastAsia="仿宋_GB2312"/>
                <w:szCs w:val="21"/>
              </w:rPr>
            </w:pPr>
            <w:r>
              <w:rPr>
                <w:rFonts w:ascii="Times New Roman" w:hAnsi="Times New Roman" w:eastAsia="仿宋_GB2312"/>
                <w:kern w:val="0"/>
                <w:szCs w:val="21"/>
              </w:rPr>
              <w:t>建设沿黄河、沿贺兰山东麓防护林体系，实施沿黄地区农田防护林提升改造、骨干水系道路沟渠两侧绿化等，完成人工造林、未成林抚育提升和退化林改造76万亩。</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林草局</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自然资源厅</w:t>
            </w:r>
          </w:p>
        </w:tc>
      </w:tr>
      <w:tr>
        <w:tblPrEx>
          <w:tblCellMar>
            <w:top w:w="0" w:type="dxa"/>
            <w:left w:w="0" w:type="dxa"/>
            <w:bottom w:w="0" w:type="dxa"/>
            <w:right w:w="0" w:type="dxa"/>
          </w:tblCellMar>
        </w:tblPrEx>
        <w:trPr>
          <w:gridAfter w:val="1"/>
          <w:wAfter w:w="11" w:type="dxa"/>
          <w:trHeight w:val="137"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95</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中部防沙治沙工程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10" w:lineRule="exact"/>
              <w:textAlignment w:val="center"/>
              <w:rPr>
                <w:rFonts w:ascii="Times New Roman" w:hAnsi="Times New Roman" w:eastAsia="仿宋_GB2312"/>
                <w:szCs w:val="21"/>
              </w:rPr>
            </w:pPr>
            <w:r>
              <w:rPr>
                <w:rFonts w:ascii="Times New Roman" w:hAnsi="Times New Roman" w:eastAsia="仿宋_GB2312"/>
                <w:kern w:val="0"/>
                <w:szCs w:val="21"/>
              </w:rPr>
              <w:t>继续实施封山禁牧工程；以罗山及周边地区为重点，实施扬黄灌区防护林建设、沙化土地综合治理、飞播造林种草等，完成人工造林、未成林抚育提升及退化林改造210万亩、封山育林10万亩、退化草原生态修复100万亩。</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林草局</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自然资源厅</w:t>
            </w:r>
          </w:p>
        </w:tc>
      </w:tr>
      <w:tr>
        <w:tblPrEx>
          <w:tblCellMar>
            <w:top w:w="0" w:type="dxa"/>
            <w:left w:w="0" w:type="dxa"/>
            <w:bottom w:w="0" w:type="dxa"/>
            <w:right w:w="0" w:type="dxa"/>
          </w:tblCellMar>
        </w:tblPrEx>
        <w:trPr>
          <w:gridBefore w:val="1"/>
          <w:wBefore w:w="11" w:type="dxa"/>
          <w:trHeight w:val="389"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114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96</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南部水源涵养林建设工程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textAlignment w:val="center"/>
              <w:rPr>
                <w:rFonts w:ascii="Times New Roman" w:hAnsi="Times New Roman" w:eastAsia="仿宋_GB2312"/>
                <w:szCs w:val="21"/>
              </w:rPr>
            </w:pPr>
            <w:r>
              <w:rPr>
                <w:rFonts w:ascii="Times New Roman" w:hAnsi="Times New Roman" w:eastAsia="仿宋_GB2312"/>
                <w:kern w:val="0"/>
                <w:szCs w:val="21"/>
              </w:rPr>
              <w:t>实施固原市</w:t>
            </w:r>
            <w:r>
              <w:rPr>
                <w:rFonts w:hint="eastAsia" w:ascii="仿宋_GB2312" w:hAnsi="仿宋_GB2312" w:eastAsia="仿宋_GB2312" w:cs="仿宋_GB2312"/>
                <w:kern w:val="0"/>
                <w:szCs w:val="21"/>
              </w:rPr>
              <w:t>“四个一”林草</w:t>
            </w:r>
            <w:r>
              <w:rPr>
                <w:rFonts w:ascii="Times New Roman" w:hAnsi="Times New Roman" w:eastAsia="仿宋_GB2312"/>
                <w:kern w:val="0"/>
                <w:szCs w:val="21"/>
              </w:rPr>
              <w:t>产业及国家储备林工程，建设六盘山、月亮山及周边地区水源涵养林、库井灌区防护林、重要支流沿线绿化，完成人工造林、未成林抚育提升及退化林分改造233万亩。</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林草局</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自然资源厅</w:t>
            </w:r>
          </w:p>
        </w:tc>
      </w:tr>
      <w:tr>
        <w:tblPrEx>
          <w:tblCellMar>
            <w:top w:w="0" w:type="dxa"/>
            <w:left w:w="0" w:type="dxa"/>
            <w:bottom w:w="0" w:type="dxa"/>
            <w:right w:w="0" w:type="dxa"/>
          </w:tblCellMar>
        </w:tblPrEx>
        <w:trPr>
          <w:gridAfter w:val="1"/>
          <w:wAfter w:w="11" w:type="dxa"/>
          <w:trHeight w:val="1166"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97</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水生态保护与修复工程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textAlignment w:val="center"/>
              <w:rPr>
                <w:rFonts w:ascii="Times New Roman" w:hAnsi="Times New Roman" w:eastAsia="仿宋_GB2312"/>
                <w:szCs w:val="21"/>
              </w:rPr>
            </w:pPr>
            <w:r>
              <w:rPr>
                <w:rFonts w:ascii="Times New Roman" w:hAnsi="Times New Roman" w:eastAsia="仿宋_GB2312"/>
                <w:kern w:val="0"/>
                <w:szCs w:val="21"/>
              </w:rPr>
              <w:t>实施清水河、苦水河、典农河、沙湖等重点河湖生态修复与综合治理工程，坡耕地综合治理、淤地坝建设及除险加固、小流域综合治理等水土保持工程，农村水系综合整治工程。</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水利厅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自然资源厅、生态环境厅、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农业农村厅</w:t>
            </w:r>
          </w:p>
        </w:tc>
      </w:tr>
      <w:tr>
        <w:tblPrEx>
          <w:tblCellMar>
            <w:top w:w="0" w:type="dxa"/>
            <w:left w:w="0" w:type="dxa"/>
            <w:bottom w:w="0" w:type="dxa"/>
            <w:right w:w="0" w:type="dxa"/>
          </w:tblCellMar>
        </w:tblPrEx>
        <w:trPr>
          <w:gridAfter w:val="1"/>
          <w:wAfter w:w="11" w:type="dxa"/>
          <w:trHeight w:val="793"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98</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湿地生态保护恢复工程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textAlignment w:val="center"/>
              <w:rPr>
                <w:rFonts w:ascii="Times New Roman" w:hAnsi="Times New Roman" w:eastAsia="仿宋_GB2312"/>
                <w:szCs w:val="21"/>
              </w:rPr>
            </w:pPr>
            <w:r>
              <w:rPr>
                <w:rFonts w:ascii="Times New Roman" w:hAnsi="Times New Roman" w:eastAsia="仿宋_GB2312"/>
                <w:kern w:val="0"/>
                <w:szCs w:val="21"/>
              </w:rPr>
              <w:t>以沿黄湖泊湿地为重点，实施退耕还湿、保护修复、生态效益补偿等，恢复湿地面积37万亩，保护修复湿地面积107万亩，新建湿地公园10个。</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szCs w:val="21"/>
              </w:rPr>
              <w:t>林草局</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自然资源厅、生态环境厅、水利厅</w:t>
            </w:r>
          </w:p>
        </w:tc>
      </w:tr>
      <w:tr>
        <w:tblPrEx>
          <w:tblCellMar>
            <w:top w:w="0" w:type="dxa"/>
            <w:left w:w="0" w:type="dxa"/>
            <w:bottom w:w="0" w:type="dxa"/>
            <w:right w:w="0" w:type="dxa"/>
          </w:tblCellMar>
        </w:tblPrEx>
        <w:trPr>
          <w:gridAfter w:val="1"/>
          <w:wAfter w:w="11" w:type="dxa"/>
          <w:trHeight w:val="9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99</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山水林田湖草系统保护修复工程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textAlignment w:val="center"/>
              <w:rPr>
                <w:rFonts w:ascii="Times New Roman" w:hAnsi="Times New Roman" w:eastAsia="仿宋_GB2312"/>
                <w:szCs w:val="21"/>
              </w:rPr>
            </w:pPr>
            <w:r>
              <w:rPr>
                <w:rFonts w:ascii="Times New Roman" w:hAnsi="Times New Roman" w:eastAsia="仿宋_GB2312"/>
                <w:spacing w:val="-6"/>
                <w:kern w:val="0"/>
                <w:szCs w:val="21"/>
              </w:rPr>
              <w:t>实施洪积扇区生态修复治理、泄洪沟道生态修复治理、入黄沟道两侧盐碱地生态修复治理、乡村环境治理与生态改善、黄河滩地生态保护修复、退化草原生态修复和生态环境监测与管理能力建设等13项工程</w:t>
            </w:r>
            <w:r>
              <w:rPr>
                <w:rFonts w:ascii="Times New Roman" w:hAnsi="Times New Roman" w:eastAsia="仿宋_GB2312"/>
                <w:kern w:val="0"/>
                <w:szCs w:val="21"/>
              </w:rPr>
              <w:t>。</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自然资源厅、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财政厅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发展改革委、生态环境厅、水利厅、农业农村厅、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林草局</w:t>
            </w:r>
          </w:p>
        </w:tc>
      </w:tr>
      <w:tr>
        <w:tblPrEx>
          <w:tblCellMar>
            <w:top w:w="0" w:type="dxa"/>
            <w:left w:w="0" w:type="dxa"/>
            <w:bottom w:w="0" w:type="dxa"/>
            <w:right w:w="0" w:type="dxa"/>
          </w:tblCellMar>
        </w:tblPrEx>
        <w:trPr>
          <w:gridAfter w:val="1"/>
          <w:wAfter w:w="11" w:type="dxa"/>
          <w:trHeight w:val="642"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100</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乡村绿化美化工程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290" w:lineRule="exact"/>
              <w:textAlignment w:val="center"/>
              <w:rPr>
                <w:rFonts w:ascii="Times New Roman" w:hAnsi="Times New Roman" w:eastAsia="仿宋_GB2312"/>
                <w:szCs w:val="21"/>
              </w:rPr>
            </w:pPr>
            <w:r>
              <w:rPr>
                <w:rFonts w:ascii="Times New Roman" w:hAnsi="Times New Roman" w:eastAsia="仿宋_GB2312"/>
                <w:kern w:val="0"/>
                <w:szCs w:val="21"/>
              </w:rPr>
              <w:t>按照村庄分类和村庄规划，推进乔灌花草相结合，实施乡村绿化美化25万亩。</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林草局</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财政厅、自然资源厅、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农业农村厅</w:t>
            </w:r>
          </w:p>
        </w:tc>
      </w:tr>
      <w:tr>
        <w:tblPrEx>
          <w:tblCellMar>
            <w:top w:w="0" w:type="dxa"/>
            <w:left w:w="0" w:type="dxa"/>
            <w:bottom w:w="0" w:type="dxa"/>
            <w:right w:w="0" w:type="dxa"/>
          </w:tblCellMar>
        </w:tblPrEx>
        <w:trPr>
          <w:gridAfter w:val="1"/>
          <w:wAfter w:w="11" w:type="dxa"/>
          <w:trHeight w:val="112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101</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历史遗留废弃矿山生态治理工程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290" w:lineRule="exact"/>
              <w:textAlignment w:val="center"/>
              <w:rPr>
                <w:rFonts w:ascii="Times New Roman" w:hAnsi="Times New Roman" w:eastAsia="仿宋_GB2312"/>
                <w:szCs w:val="21"/>
              </w:rPr>
            </w:pPr>
            <w:r>
              <w:rPr>
                <w:rFonts w:ascii="Times New Roman" w:hAnsi="Times New Roman" w:eastAsia="仿宋_GB2312"/>
                <w:kern w:val="0"/>
                <w:szCs w:val="21"/>
              </w:rPr>
              <w:t>实施贺兰山东麓石嘴山段、银川段、青铜峡段、牛首山，以及盐池县、中宁县、沙坡头区、隆德县、泾源县等历史遗留矿山地质环境恢复治理，开展清理渣土、回填种植土、植被恢复、生态修复等。</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自然资源厅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财政厅、林草局</w:t>
            </w:r>
          </w:p>
        </w:tc>
      </w:tr>
      <w:tr>
        <w:tblPrEx>
          <w:tblCellMar>
            <w:top w:w="0" w:type="dxa"/>
            <w:left w:w="0" w:type="dxa"/>
            <w:bottom w:w="0" w:type="dxa"/>
            <w:right w:w="0" w:type="dxa"/>
          </w:tblCellMar>
        </w:tblPrEx>
        <w:trPr>
          <w:gridAfter w:val="1"/>
          <w:wAfter w:w="11" w:type="dxa"/>
          <w:trHeight w:val="90"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290" w:lineRule="exact"/>
              <w:jc w:val="left"/>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十九、环境污染治理重点工程项目</w:t>
            </w:r>
          </w:p>
        </w:tc>
      </w:tr>
      <w:tr>
        <w:tblPrEx>
          <w:tblCellMar>
            <w:top w:w="0" w:type="dxa"/>
            <w:left w:w="0" w:type="dxa"/>
            <w:bottom w:w="0" w:type="dxa"/>
            <w:right w:w="0" w:type="dxa"/>
          </w:tblCellMar>
        </w:tblPrEx>
        <w:trPr>
          <w:gridAfter w:val="1"/>
          <w:wAfter w:w="11" w:type="dxa"/>
          <w:trHeight w:val="9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napToGrid w:val="0"/>
              <w:jc w:val="center"/>
              <w:textAlignment w:val="center"/>
              <w:rPr>
                <w:rFonts w:ascii="Times New Roman" w:hAnsi="Times New Roman" w:eastAsiaTheme="minorEastAsia"/>
                <w:szCs w:val="21"/>
              </w:rPr>
            </w:pPr>
            <w:r>
              <w:rPr>
                <w:rFonts w:ascii="Times New Roman" w:hAnsi="Times New Roman" w:eastAsiaTheme="minorEastAsia"/>
                <w:kern w:val="0"/>
                <w:szCs w:val="21"/>
              </w:rPr>
              <w:t>102</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napToGrid w:val="0"/>
              <w:jc w:val="left"/>
              <w:textAlignment w:val="center"/>
              <w:rPr>
                <w:rFonts w:ascii="Times New Roman" w:hAnsi="Times New Roman" w:eastAsia="仿宋_GB2312"/>
                <w:szCs w:val="21"/>
              </w:rPr>
            </w:pPr>
            <w:r>
              <w:rPr>
                <w:rFonts w:ascii="Times New Roman" w:hAnsi="Times New Roman" w:eastAsia="仿宋_GB2312"/>
                <w:kern w:val="0"/>
                <w:szCs w:val="21"/>
              </w:rPr>
              <w:t>大气污染防治工程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napToGrid w:val="0"/>
              <w:spacing w:line="290" w:lineRule="exact"/>
              <w:textAlignment w:val="center"/>
              <w:rPr>
                <w:rFonts w:ascii="Times New Roman" w:hAnsi="Times New Roman" w:eastAsia="仿宋_GB2312"/>
                <w:szCs w:val="21"/>
              </w:rPr>
            </w:pPr>
            <w:r>
              <w:rPr>
                <w:rFonts w:ascii="Times New Roman" w:hAnsi="Times New Roman" w:eastAsia="仿宋_GB2312"/>
                <w:kern w:val="0"/>
                <w:szCs w:val="21"/>
              </w:rPr>
              <w:t>建设太阳山开发区、中宁县、平罗县前进农场等热电联产集中供热项目；实施工业园区集中供热供蒸汽、工业炉窑烟气和重点行业挥发性污染物治理达标排放、重点行业超低排放改造和燃气锅炉低氮燃烧改造工程，实现县城以上清洁取暖全覆盖，园区实现集中供热供蒸汽。</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napToGrid w:val="0"/>
              <w:jc w:val="center"/>
              <w:textAlignment w:val="center"/>
              <w:rPr>
                <w:rFonts w:ascii="Times New Roman" w:hAnsi="Times New Roman" w:eastAsia="仿宋_GB2312"/>
                <w:szCs w:val="21"/>
              </w:rPr>
            </w:pPr>
            <w:r>
              <w:rPr>
                <w:rFonts w:ascii="Times New Roman" w:hAnsi="Times New Roman" w:eastAsia="仿宋_GB2312"/>
                <w:kern w:val="0"/>
                <w:szCs w:val="21"/>
              </w:rPr>
              <w:t>生态环境厅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napToGrid w:val="0"/>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w:t>
            </w:r>
          </w:p>
          <w:p>
            <w:pPr>
              <w:widowControl/>
              <w:snapToGrid w:val="0"/>
              <w:jc w:val="center"/>
              <w:textAlignment w:val="center"/>
              <w:rPr>
                <w:rFonts w:ascii="Times New Roman" w:hAnsi="Times New Roman" w:eastAsia="仿宋_GB2312"/>
                <w:kern w:val="0"/>
                <w:szCs w:val="21"/>
              </w:rPr>
            </w:pPr>
            <w:r>
              <w:rPr>
                <w:rFonts w:ascii="Times New Roman" w:hAnsi="Times New Roman" w:eastAsia="仿宋_GB2312"/>
                <w:kern w:val="0"/>
                <w:szCs w:val="21"/>
              </w:rPr>
              <w:t>工业和信息化厅、</w:t>
            </w:r>
          </w:p>
          <w:p>
            <w:pPr>
              <w:widowControl/>
              <w:snapToGrid w:val="0"/>
              <w:jc w:val="center"/>
              <w:textAlignment w:val="center"/>
              <w:rPr>
                <w:rFonts w:ascii="Times New Roman" w:hAnsi="Times New Roman" w:eastAsia="仿宋_GB2312"/>
                <w:kern w:val="0"/>
                <w:szCs w:val="21"/>
              </w:rPr>
            </w:pPr>
            <w:r>
              <w:rPr>
                <w:rFonts w:ascii="Times New Roman" w:hAnsi="Times New Roman" w:eastAsia="仿宋_GB2312"/>
                <w:kern w:val="0"/>
                <w:szCs w:val="21"/>
              </w:rPr>
              <w:t>住房城乡建设厅、</w:t>
            </w:r>
          </w:p>
          <w:p>
            <w:pPr>
              <w:widowControl/>
              <w:snapToGrid w:val="0"/>
              <w:jc w:val="center"/>
              <w:textAlignment w:val="center"/>
              <w:rPr>
                <w:rFonts w:ascii="Times New Roman" w:hAnsi="Times New Roman" w:eastAsia="仿宋_GB2312"/>
                <w:szCs w:val="21"/>
              </w:rPr>
            </w:pPr>
            <w:r>
              <w:rPr>
                <w:rFonts w:ascii="Times New Roman" w:hAnsi="Times New Roman" w:eastAsia="仿宋_GB2312"/>
                <w:kern w:val="0"/>
                <w:szCs w:val="21"/>
              </w:rPr>
              <w:t>农业农村厅</w:t>
            </w:r>
            <w:r>
              <w:rPr>
                <w:rFonts w:hint="eastAsia" w:ascii="Times New Roman" w:hAnsi="Times New Roman" w:eastAsia="仿宋_GB2312"/>
                <w:kern w:val="0"/>
                <w:szCs w:val="21"/>
              </w:rPr>
              <w:t>、</w:t>
            </w:r>
            <w:r>
              <w:rPr>
                <w:rFonts w:ascii="Times New Roman" w:hAnsi="Times New Roman" w:eastAsia="仿宋_GB2312"/>
                <w:kern w:val="0"/>
                <w:szCs w:val="21"/>
              </w:rPr>
              <w:t>宁夏农垦集团</w:t>
            </w:r>
            <w:r>
              <w:rPr>
                <w:rFonts w:hint="eastAsia" w:ascii="Times New Roman" w:hAnsi="Times New Roman" w:eastAsia="仿宋_GB2312"/>
                <w:kern w:val="0"/>
                <w:szCs w:val="21"/>
              </w:rPr>
              <w:t>公司</w:t>
            </w:r>
            <w:r>
              <w:rPr>
                <w:rFonts w:ascii="Times New Roman" w:hAnsi="Times New Roman" w:eastAsia="仿宋_GB2312"/>
                <w:kern w:val="0"/>
                <w:szCs w:val="21"/>
              </w:rPr>
              <w:t>，有关市县（区）</w:t>
            </w:r>
          </w:p>
        </w:tc>
      </w:tr>
      <w:tr>
        <w:tblPrEx>
          <w:tblCellMar>
            <w:top w:w="0" w:type="dxa"/>
            <w:left w:w="0" w:type="dxa"/>
            <w:bottom w:w="0" w:type="dxa"/>
            <w:right w:w="0" w:type="dxa"/>
          </w:tblCellMar>
        </w:tblPrEx>
        <w:trPr>
          <w:gridBefore w:val="1"/>
          <w:wBefore w:w="11" w:type="dxa"/>
          <w:trHeight w:val="411"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178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napToGrid w:val="0"/>
              <w:jc w:val="center"/>
              <w:textAlignment w:val="center"/>
              <w:rPr>
                <w:rFonts w:ascii="Times New Roman" w:hAnsi="Times New Roman" w:eastAsiaTheme="minorEastAsia"/>
                <w:szCs w:val="21"/>
              </w:rPr>
            </w:pPr>
            <w:r>
              <w:rPr>
                <w:rFonts w:ascii="Times New Roman" w:hAnsi="Times New Roman" w:eastAsiaTheme="minorEastAsia"/>
                <w:kern w:val="0"/>
                <w:szCs w:val="21"/>
              </w:rPr>
              <w:t>103</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napToGrid w:val="0"/>
              <w:jc w:val="left"/>
              <w:textAlignment w:val="center"/>
              <w:rPr>
                <w:rFonts w:ascii="Times New Roman" w:hAnsi="Times New Roman" w:eastAsia="仿宋_GB2312"/>
                <w:szCs w:val="21"/>
              </w:rPr>
            </w:pPr>
            <w:r>
              <w:rPr>
                <w:rFonts w:ascii="Times New Roman" w:hAnsi="Times New Roman" w:eastAsia="仿宋_GB2312"/>
                <w:kern w:val="0"/>
                <w:szCs w:val="21"/>
              </w:rPr>
              <w:t>水环境治理工程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napToGrid w:val="0"/>
              <w:textAlignment w:val="center"/>
              <w:rPr>
                <w:rFonts w:ascii="Times New Roman" w:hAnsi="Times New Roman" w:eastAsia="仿宋_GB2312"/>
                <w:szCs w:val="21"/>
              </w:rPr>
            </w:pPr>
            <w:r>
              <w:rPr>
                <w:rFonts w:ascii="Times New Roman" w:hAnsi="Times New Roman" w:eastAsia="仿宋_GB2312"/>
                <w:kern w:val="0"/>
                <w:szCs w:val="21"/>
              </w:rPr>
              <w:t>实施黄河宁夏段水生态环境治理项目，开展黄河干支流流域饮用水源地保护、地下水污染防治、主要河道（湖库）治理及生态修复、河湖缓冲带治理、入河排污口规范化，建设全流域水质跨境断面自动监测系统；新建改造工业园区污水处理厂12座、再生水厂2座。</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napToGrid w:val="0"/>
              <w:jc w:val="center"/>
              <w:textAlignment w:val="center"/>
              <w:rPr>
                <w:rFonts w:ascii="Times New Roman" w:hAnsi="Times New Roman" w:eastAsia="仿宋_GB2312"/>
                <w:szCs w:val="21"/>
              </w:rPr>
            </w:pPr>
            <w:r>
              <w:rPr>
                <w:rFonts w:ascii="Times New Roman" w:hAnsi="Times New Roman" w:eastAsia="仿宋_GB2312"/>
                <w:kern w:val="0"/>
                <w:szCs w:val="21"/>
              </w:rPr>
              <w:t>生态环境厅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napToGrid w:val="0"/>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w:t>
            </w:r>
          </w:p>
          <w:p>
            <w:pPr>
              <w:widowControl/>
              <w:snapToGrid w:val="0"/>
              <w:jc w:val="center"/>
              <w:textAlignment w:val="center"/>
              <w:rPr>
                <w:rFonts w:ascii="Times New Roman" w:hAnsi="Times New Roman" w:eastAsia="仿宋_GB2312"/>
                <w:szCs w:val="21"/>
              </w:rPr>
            </w:pPr>
            <w:r>
              <w:rPr>
                <w:rFonts w:ascii="Times New Roman" w:hAnsi="Times New Roman" w:eastAsia="仿宋_GB2312"/>
                <w:kern w:val="0"/>
                <w:szCs w:val="21"/>
              </w:rPr>
              <w:t>工业和信息化厅、财政厅、水利厅</w:t>
            </w:r>
          </w:p>
        </w:tc>
      </w:tr>
      <w:tr>
        <w:tblPrEx>
          <w:tblCellMar>
            <w:top w:w="0" w:type="dxa"/>
            <w:left w:w="0" w:type="dxa"/>
            <w:bottom w:w="0" w:type="dxa"/>
            <w:right w:w="0" w:type="dxa"/>
          </w:tblCellMar>
        </w:tblPrEx>
        <w:trPr>
          <w:gridAfter w:val="1"/>
          <w:wAfter w:w="11" w:type="dxa"/>
          <w:trHeight w:val="1273"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napToGrid w:val="0"/>
              <w:jc w:val="center"/>
              <w:textAlignment w:val="center"/>
              <w:rPr>
                <w:rFonts w:ascii="Times New Roman" w:hAnsi="Times New Roman" w:eastAsiaTheme="minorEastAsia"/>
                <w:szCs w:val="21"/>
              </w:rPr>
            </w:pPr>
            <w:r>
              <w:rPr>
                <w:rFonts w:ascii="Times New Roman" w:hAnsi="Times New Roman" w:eastAsiaTheme="minorEastAsia"/>
                <w:kern w:val="0"/>
                <w:szCs w:val="21"/>
              </w:rPr>
              <w:t>104</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napToGrid w:val="0"/>
              <w:jc w:val="left"/>
              <w:textAlignment w:val="center"/>
              <w:rPr>
                <w:rFonts w:ascii="Times New Roman" w:hAnsi="Times New Roman" w:eastAsia="仿宋_GB2312"/>
                <w:szCs w:val="21"/>
              </w:rPr>
            </w:pPr>
            <w:r>
              <w:rPr>
                <w:rFonts w:ascii="Times New Roman" w:hAnsi="Times New Roman" w:eastAsia="仿宋_GB2312"/>
                <w:kern w:val="0"/>
                <w:szCs w:val="21"/>
              </w:rPr>
              <w:t>土壤污染防治工程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napToGrid w:val="0"/>
              <w:textAlignment w:val="center"/>
              <w:rPr>
                <w:rFonts w:ascii="Times New Roman" w:hAnsi="Times New Roman" w:eastAsia="仿宋_GB2312"/>
                <w:szCs w:val="21"/>
              </w:rPr>
            </w:pPr>
            <w:r>
              <w:rPr>
                <w:rFonts w:ascii="Times New Roman" w:hAnsi="Times New Roman" w:eastAsia="仿宋_GB2312"/>
                <w:kern w:val="0"/>
                <w:szCs w:val="21"/>
              </w:rPr>
              <w:t>实施重金属污染治理修复、化肥农药减量化、测土配方施肥、农作物水肥一体化、农膜残留治理、土壤环境监管能力建设等工程，每年建设农业面源污染治理示范县2个，争创国家土壤安全利用示范县。</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napToGrid w:val="0"/>
              <w:jc w:val="center"/>
              <w:textAlignment w:val="center"/>
              <w:rPr>
                <w:rFonts w:ascii="Times New Roman" w:hAnsi="Times New Roman" w:eastAsia="仿宋_GB2312"/>
                <w:kern w:val="0"/>
                <w:szCs w:val="21"/>
              </w:rPr>
            </w:pPr>
            <w:r>
              <w:rPr>
                <w:rFonts w:ascii="Times New Roman" w:hAnsi="Times New Roman" w:eastAsia="仿宋_GB2312"/>
                <w:kern w:val="0"/>
                <w:szCs w:val="21"/>
              </w:rPr>
              <w:t>生态环境厅、</w:t>
            </w:r>
          </w:p>
          <w:p>
            <w:pPr>
              <w:widowControl/>
              <w:snapToGrid w:val="0"/>
              <w:jc w:val="center"/>
              <w:textAlignment w:val="center"/>
              <w:rPr>
                <w:rFonts w:ascii="Times New Roman" w:hAnsi="Times New Roman" w:eastAsia="仿宋_GB2312"/>
                <w:szCs w:val="21"/>
              </w:rPr>
            </w:pPr>
            <w:r>
              <w:rPr>
                <w:rFonts w:ascii="Times New Roman" w:hAnsi="Times New Roman" w:eastAsia="仿宋_GB2312"/>
                <w:kern w:val="0"/>
                <w:szCs w:val="21"/>
              </w:rPr>
              <w:t>农业农村厅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napToGrid w:val="0"/>
              <w:jc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snapToGrid w:val="0"/>
              <w:jc w:val="center"/>
              <w:rPr>
                <w:rFonts w:ascii="Times New Roman" w:hAnsi="Times New Roman" w:eastAsia="仿宋_GB2312"/>
                <w:szCs w:val="21"/>
              </w:rPr>
            </w:pPr>
            <w:r>
              <w:rPr>
                <w:rFonts w:ascii="Times New Roman" w:hAnsi="Times New Roman" w:eastAsia="仿宋_GB2312"/>
                <w:kern w:val="0"/>
                <w:szCs w:val="21"/>
              </w:rPr>
              <w:t>水利厅</w:t>
            </w:r>
          </w:p>
        </w:tc>
      </w:tr>
      <w:tr>
        <w:tblPrEx>
          <w:tblCellMar>
            <w:top w:w="0" w:type="dxa"/>
            <w:left w:w="0" w:type="dxa"/>
            <w:bottom w:w="0" w:type="dxa"/>
            <w:right w:w="0" w:type="dxa"/>
          </w:tblCellMar>
        </w:tblPrEx>
        <w:trPr>
          <w:gridAfter w:val="1"/>
          <w:wAfter w:w="11" w:type="dxa"/>
          <w:trHeight w:val="712"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105</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危废医废安全处置工程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提升改造危险废物处置设施和医废集中处置中心，新增危险废物处置能力43万吨/年，医疗废物安全处置能力达到1万吨/年，全区危废医废安全处置率达到100%。</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生态环境厅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jc w:val="center"/>
              <w:rPr>
                <w:rFonts w:ascii="Times New Roman" w:hAnsi="Times New Roman" w:eastAsia="仿宋_GB2312"/>
                <w:kern w:val="0"/>
                <w:szCs w:val="21"/>
              </w:rPr>
            </w:pPr>
            <w:r>
              <w:rPr>
                <w:rFonts w:ascii="Times New Roman" w:hAnsi="Times New Roman" w:eastAsia="仿宋_GB2312"/>
                <w:kern w:val="0"/>
                <w:szCs w:val="21"/>
              </w:rPr>
              <w:t>发展改革委、</w:t>
            </w:r>
          </w:p>
          <w:p>
            <w:pPr>
              <w:jc w:val="center"/>
              <w:rPr>
                <w:rFonts w:ascii="Times New Roman" w:hAnsi="Times New Roman" w:eastAsia="仿宋_GB2312"/>
                <w:szCs w:val="21"/>
              </w:rPr>
            </w:pPr>
            <w:r>
              <w:rPr>
                <w:rFonts w:ascii="Times New Roman" w:hAnsi="Times New Roman" w:eastAsia="仿宋_GB2312"/>
                <w:kern w:val="0"/>
                <w:szCs w:val="21"/>
              </w:rPr>
              <w:t>工业和信息化厅、财政厅、卫生健康委</w:t>
            </w:r>
          </w:p>
        </w:tc>
      </w:tr>
      <w:tr>
        <w:tblPrEx>
          <w:tblCellMar>
            <w:top w:w="0" w:type="dxa"/>
            <w:left w:w="0" w:type="dxa"/>
            <w:bottom w:w="0" w:type="dxa"/>
            <w:right w:w="0" w:type="dxa"/>
          </w:tblCellMar>
        </w:tblPrEx>
        <w:trPr>
          <w:gridAfter w:val="1"/>
          <w:wAfter w:w="11" w:type="dxa"/>
          <w:trHeight w:val="348"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b/>
                <w:bCs/>
                <w:kern w:val="0"/>
                <w:szCs w:val="21"/>
              </w:rPr>
            </w:pPr>
            <w:r>
              <w:rPr>
                <w:rFonts w:ascii="Times New Roman" w:hAnsi="Times New Roman" w:eastAsia="仿宋_GB2312"/>
                <w:b/>
                <w:bCs/>
                <w:kern w:val="0"/>
                <w:szCs w:val="21"/>
              </w:rPr>
              <w:t>二十、资源节约集约利用重点工程项目</w:t>
            </w:r>
          </w:p>
        </w:tc>
      </w:tr>
      <w:tr>
        <w:tblPrEx>
          <w:tblCellMar>
            <w:top w:w="0" w:type="dxa"/>
            <w:left w:w="0" w:type="dxa"/>
            <w:bottom w:w="0" w:type="dxa"/>
            <w:right w:w="0" w:type="dxa"/>
          </w:tblCellMar>
        </w:tblPrEx>
        <w:trPr>
          <w:gridAfter w:val="1"/>
          <w:wAfter w:w="11" w:type="dxa"/>
          <w:trHeight w:val="34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106</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水资源节约利用工程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实施灌区量测水设施和滴灌、喷灌、沟灌等节水改造，农业高效节水灌溉面积达到400万亩以上。实施节水型工业园区建设和重点用水企业节水改造，工业用水重复利用率达到90%以上。建设五</w:t>
            </w:r>
            <w:r>
              <w:rPr>
                <w:rFonts w:hint="eastAsia" w:ascii="Times New Roman" w:hAnsi="Times New Roman" w:eastAsia="仿宋_GB2312"/>
                <w:kern w:val="0"/>
                <w:szCs w:val="21"/>
              </w:rPr>
              <w:t>个地级</w:t>
            </w:r>
            <w:r>
              <w:rPr>
                <w:rFonts w:ascii="Times New Roman" w:hAnsi="Times New Roman" w:eastAsia="仿宋_GB2312"/>
                <w:kern w:val="0"/>
                <w:szCs w:val="21"/>
              </w:rPr>
              <w:t>市中水回用设施和宁东基地矿井疏干水收集回用工程，在贺兰山东麓、固原市等区域建设雨洪水收集利用设施。改造升级城镇老旧供水管网，推进公共机构节水型单位、节水教育基地建设。</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水利厅、</w:t>
            </w:r>
          </w:p>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农业农村厅、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工业和信息化厅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住房城乡建设厅</w:t>
            </w:r>
          </w:p>
        </w:tc>
      </w:tr>
      <w:tr>
        <w:tblPrEx>
          <w:tblCellMar>
            <w:top w:w="0" w:type="dxa"/>
            <w:left w:w="0" w:type="dxa"/>
            <w:bottom w:w="0" w:type="dxa"/>
            <w:right w:w="0" w:type="dxa"/>
          </w:tblCellMar>
        </w:tblPrEx>
        <w:trPr>
          <w:gridAfter w:val="1"/>
          <w:wAfter w:w="11" w:type="dxa"/>
          <w:trHeight w:val="1199"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107</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能源高效利用工程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实施火电、钢铁、煤炭、化工、建材、电解铝、铁合金等传统高耗能行业能效提升工程，改造一批重点用能单位项目；实施居民和公共机构建筑节能改造工程，推广节能环保汽车和新能源汽车。</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工业和信息化厅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住房城乡建设厅</w:t>
            </w:r>
          </w:p>
        </w:tc>
      </w:tr>
      <w:tr>
        <w:tblPrEx>
          <w:tblCellMar>
            <w:top w:w="0" w:type="dxa"/>
            <w:left w:w="0" w:type="dxa"/>
            <w:bottom w:w="0" w:type="dxa"/>
            <w:right w:w="0" w:type="dxa"/>
          </w:tblCellMar>
        </w:tblPrEx>
        <w:trPr>
          <w:gridBefore w:val="1"/>
          <w:wBefore w:w="11" w:type="dxa"/>
          <w:trHeight w:val="35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576"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108</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国土综合整治工程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在全区范围内实施农用地整理21000公顷、建设用地整理2300公顷、未利用地开发32000公顷。</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自然资源厅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农业农村厅、住房城乡建设厅、水利厅、财政厅</w:t>
            </w:r>
          </w:p>
        </w:tc>
      </w:tr>
      <w:tr>
        <w:tblPrEx>
          <w:tblCellMar>
            <w:top w:w="0" w:type="dxa"/>
            <w:left w:w="0" w:type="dxa"/>
            <w:bottom w:w="0" w:type="dxa"/>
            <w:right w:w="0" w:type="dxa"/>
          </w:tblCellMar>
        </w:tblPrEx>
        <w:trPr>
          <w:gridAfter w:val="1"/>
          <w:wAfter w:w="11" w:type="dxa"/>
          <w:trHeight w:val="1442"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109</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绿色低碳循环改造工程</w:t>
            </w:r>
          </w:p>
        </w:tc>
        <w:tc>
          <w:tcPr>
            <w:tcW w:w="4690" w:type="dxa"/>
            <w:gridSpan w:val="2"/>
            <w:tcBorders>
              <w:top w:val="single" w:color="000000" w:sz="4" w:space="0"/>
              <w:left w:val="single" w:color="000000" w:sz="4" w:space="0"/>
              <w:bottom w:val="single" w:color="auto"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建设银川市循环经济产业园，实施市政污泥处理、建筑垃圾回收利用、废矿物油和工业废弃物综合利用、园林废弃物处理等一体化处理和综合利用项目，推进利用工业尾气生物发酵制燃料乙醇项目。建设固原、中卫、石嘴山城市生活垃圾焚烧发电项目。</w:t>
            </w:r>
          </w:p>
        </w:tc>
        <w:tc>
          <w:tcPr>
            <w:tcW w:w="1850" w:type="dxa"/>
            <w:gridSpan w:val="2"/>
            <w:tcBorders>
              <w:top w:val="single" w:color="000000" w:sz="4" w:space="0"/>
              <w:left w:val="single" w:color="000000" w:sz="4" w:space="0"/>
              <w:bottom w:val="single" w:color="auto"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w:t>
            </w:r>
          </w:p>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工业和信息化厅、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住房城乡建设厅</w:t>
            </w:r>
          </w:p>
        </w:tc>
        <w:tc>
          <w:tcPr>
            <w:tcW w:w="2520" w:type="dxa"/>
            <w:gridSpan w:val="2"/>
            <w:tcBorders>
              <w:top w:val="single" w:color="000000" w:sz="4" w:space="0"/>
              <w:left w:val="single" w:color="000000" w:sz="4" w:space="0"/>
              <w:bottom w:val="single" w:color="auto"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生态环境厅</w:t>
            </w:r>
            <w:r>
              <w:rPr>
                <w:rFonts w:hint="eastAsia" w:ascii="Times New Roman" w:hAnsi="Times New Roman" w:eastAsia="仿宋_GB2312"/>
                <w:kern w:val="0"/>
                <w:szCs w:val="21"/>
              </w:rPr>
              <w:t>、</w:t>
            </w:r>
            <w:r>
              <w:rPr>
                <w:rFonts w:ascii="Times New Roman" w:hAnsi="Times New Roman" w:eastAsia="仿宋_GB2312"/>
                <w:kern w:val="0"/>
                <w:szCs w:val="21"/>
              </w:rPr>
              <w:t>银川市、</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石嘴山市、固原市、中卫市</w:t>
            </w:r>
          </w:p>
        </w:tc>
      </w:tr>
      <w:tr>
        <w:tblPrEx>
          <w:tblCellMar>
            <w:top w:w="0" w:type="dxa"/>
            <w:left w:w="0" w:type="dxa"/>
            <w:bottom w:w="0" w:type="dxa"/>
            <w:right w:w="0" w:type="dxa"/>
          </w:tblCellMar>
        </w:tblPrEx>
        <w:trPr>
          <w:gridAfter w:val="1"/>
          <w:wAfter w:w="11" w:type="dxa"/>
          <w:trHeight w:val="98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110</w:t>
            </w:r>
          </w:p>
        </w:tc>
        <w:tc>
          <w:tcPr>
            <w:tcW w:w="3648" w:type="dxa"/>
            <w:gridSpan w:val="2"/>
            <w:tcBorders>
              <w:top w:val="single" w:color="000000" w:sz="4" w:space="0"/>
              <w:left w:val="single" w:color="000000" w:sz="4" w:space="0"/>
              <w:bottom w:val="single" w:color="000000" w:sz="4" w:space="0"/>
              <w:right w:val="single" w:color="auto"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固体废物处置和综合利用工程</w:t>
            </w:r>
          </w:p>
        </w:tc>
        <w:tc>
          <w:tcPr>
            <w:tcW w:w="4690" w:type="dxa"/>
            <w:gridSpan w:val="2"/>
            <w:tcBorders>
              <w:top w:val="single" w:color="auto" w:sz="4" w:space="0"/>
              <w:left w:val="single" w:color="auto" w:sz="4" w:space="0"/>
              <w:bottom w:val="single" w:color="auto"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实施宁东基地、平罗工业园、中卫工业园等园区工业固体废物处置和综合利用项目，新增固废安全处置和综合利用能力500万吨/年。</w:t>
            </w:r>
          </w:p>
        </w:tc>
        <w:tc>
          <w:tcPr>
            <w:tcW w:w="1850" w:type="dxa"/>
            <w:gridSpan w:val="2"/>
            <w:tcBorders>
              <w:top w:val="single" w:color="auto" w:sz="4" w:space="0"/>
              <w:left w:val="nil"/>
              <w:bottom w:val="single" w:color="auto" w:sz="4" w:space="0"/>
              <w:right w:val="nil"/>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工业和信息化厅、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生态环境厅</w:t>
            </w:r>
          </w:p>
        </w:tc>
        <w:tc>
          <w:tcPr>
            <w:tcW w:w="2520" w:type="dxa"/>
            <w:gridSpan w:val="2"/>
            <w:tcBorders>
              <w:top w:val="single" w:color="auto" w:sz="4" w:space="0"/>
              <w:left w:val="single" w:color="000000" w:sz="4" w:space="0"/>
              <w:bottom w:val="single" w:color="auto" w:sz="4" w:space="0"/>
              <w:right w:val="single" w:color="auto"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发展改革委、自然资源厅</w:t>
            </w:r>
            <w:r>
              <w:rPr>
                <w:rFonts w:hint="eastAsia" w:ascii="Times New Roman" w:hAnsi="Times New Roman" w:eastAsia="仿宋_GB2312"/>
                <w:kern w:val="0"/>
                <w:szCs w:val="21"/>
              </w:rPr>
              <w:t>、</w:t>
            </w:r>
            <w:r>
              <w:rPr>
                <w:rFonts w:ascii="Times New Roman" w:hAnsi="Times New Roman" w:eastAsia="仿宋_GB2312"/>
                <w:kern w:val="0"/>
                <w:szCs w:val="21"/>
              </w:rPr>
              <w:t>宁东管委会</w:t>
            </w:r>
            <w:r>
              <w:rPr>
                <w:rFonts w:hint="eastAsia" w:ascii="Times New Roman" w:hAnsi="Times New Roman" w:eastAsia="仿宋_GB2312"/>
                <w:kern w:val="0"/>
                <w:szCs w:val="21"/>
              </w:rPr>
              <w:t>、</w:t>
            </w:r>
            <w:r>
              <w:rPr>
                <w:rFonts w:ascii="Times New Roman" w:hAnsi="Times New Roman" w:eastAsia="仿宋_GB2312"/>
                <w:kern w:val="0"/>
                <w:szCs w:val="21"/>
              </w:rPr>
              <w:t>中卫市、</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平罗县</w:t>
            </w:r>
          </w:p>
        </w:tc>
      </w:tr>
      <w:tr>
        <w:tblPrEx>
          <w:tblCellMar>
            <w:top w:w="0" w:type="dxa"/>
            <w:left w:w="0" w:type="dxa"/>
            <w:bottom w:w="0" w:type="dxa"/>
            <w:right w:w="0" w:type="dxa"/>
          </w:tblCellMar>
        </w:tblPrEx>
        <w:trPr>
          <w:gridAfter w:val="1"/>
          <w:wAfter w:w="11" w:type="dxa"/>
          <w:trHeight w:val="348"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二十一、促进就业重点工程项目</w:t>
            </w:r>
          </w:p>
        </w:tc>
      </w:tr>
      <w:tr>
        <w:tblPrEx>
          <w:tblCellMar>
            <w:top w:w="0" w:type="dxa"/>
            <w:left w:w="0" w:type="dxa"/>
            <w:bottom w:w="0" w:type="dxa"/>
            <w:right w:w="0" w:type="dxa"/>
          </w:tblCellMar>
        </w:tblPrEx>
        <w:trPr>
          <w:gridAfter w:val="1"/>
          <w:wAfter w:w="11" w:type="dxa"/>
          <w:trHeight w:val="1315"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111</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劳动者职业技能提升行动</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spacing w:val="-6"/>
                <w:kern w:val="0"/>
                <w:szCs w:val="21"/>
              </w:rPr>
              <w:t>实施企业职工、贫困劳动力、退役军人、家政服务人员等就业重点群体就业技能培训、岗位提升培训、创业培训25万人次以上，开展新型职业农民实用技术培训5000名以上、新型农民领军人才培训800人以上。</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人力资源社会</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保障厅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农业农村厅、退役军人厅、扶贫办</w:t>
            </w:r>
          </w:p>
        </w:tc>
      </w:tr>
      <w:tr>
        <w:tblPrEx>
          <w:tblCellMar>
            <w:top w:w="0" w:type="dxa"/>
            <w:left w:w="0" w:type="dxa"/>
            <w:bottom w:w="0" w:type="dxa"/>
            <w:right w:w="0" w:type="dxa"/>
          </w:tblCellMar>
        </w:tblPrEx>
        <w:trPr>
          <w:gridAfter w:val="1"/>
          <w:wAfter w:w="11" w:type="dxa"/>
          <w:trHeight w:val="1971"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112</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创业带动就业行动</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提升大众创业万众创新载体质量，落实创业担保贷款、创业培训和创业服务等政策措施，推进宁夏公共就业创业服务信息系统项目建设，实现公共就业服务数据集中存储和业务经办一体化，实施高校毕业生就业创业促进计划和基层服务计划，高校毕业生就业率年均保持在85%以上。</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人力资源社会</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保障厅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教育厅</w:t>
            </w:r>
          </w:p>
        </w:tc>
      </w:tr>
      <w:tr>
        <w:tblPrEx>
          <w:tblCellMar>
            <w:top w:w="0" w:type="dxa"/>
            <w:left w:w="0" w:type="dxa"/>
            <w:bottom w:w="0" w:type="dxa"/>
            <w:right w:w="0" w:type="dxa"/>
          </w:tblCellMar>
        </w:tblPrEx>
        <w:trPr>
          <w:gridAfter w:val="1"/>
          <w:wAfter w:w="11" w:type="dxa"/>
          <w:trHeight w:val="981"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113</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人力资源产业园建设工程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鼓励有条件的地级市根据经济社会发展和产业转型需求，培育建设有特色、有活力、有效益的人力资源服务产业园，开展产业园建设评估。</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人力资源社会</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保障厅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jc w:val="center"/>
              <w:rPr>
                <w:rFonts w:ascii="Times New Roman" w:hAnsi="Times New Roman" w:eastAsia="仿宋_GB2312"/>
                <w:szCs w:val="21"/>
              </w:rPr>
            </w:pPr>
            <w:r>
              <w:rPr>
                <w:rFonts w:ascii="Times New Roman" w:hAnsi="Times New Roman" w:eastAsia="仿宋_GB2312"/>
                <w:kern w:val="0"/>
                <w:szCs w:val="21"/>
              </w:rPr>
              <w:t>发展改革委、财政厅</w:t>
            </w:r>
          </w:p>
        </w:tc>
      </w:tr>
      <w:tr>
        <w:tblPrEx>
          <w:tblCellMar>
            <w:top w:w="0" w:type="dxa"/>
            <w:left w:w="0" w:type="dxa"/>
            <w:bottom w:w="0" w:type="dxa"/>
            <w:right w:w="0" w:type="dxa"/>
          </w:tblCellMar>
        </w:tblPrEx>
        <w:trPr>
          <w:gridAfter w:val="1"/>
          <w:wAfter w:w="11" w:type="dxa"/>
          <w:trHeight w:val="374"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114</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公共实训基地建设工程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建设职业技能公共实训基地3</w:t>
            </w:r>
            <w:r>
              <w:rPr>
                <w:rFonts w:hint="eastAsia" w:ascii="仿宋_GB2312" w:hAnsi="仿宋_GB2312" w:eastAsia="仿宋_GB2312" w:cs="仿宋_GB2312"/>
                <w:kern w:val="0"/>
                <w:szCs w:val="21"/>
              </w:rPr>
              <w:t>—</w:t>
            </w:r>
            <w:r>
              <w:rPr>
                <w:rFonts w:ascii="Times New Roman" w:hAnsi="Times New Roman" w:eastAsia="仿宋_GB2312"/>
                <w:kern w:val="0"/>
                <w:szCs w:val="21"/>
              </w:rPr>
              <w:t>5个。</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人力资源社会</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保障厅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jc w:val="center"/>
              <w:rPr>
                <w:rFonts w:ascii="Times New Roman" w:hAnsi="Times New Roman" w:eastAsia="仿宋_GB2312"/>
                <w:szCs w:val="21"/>
              </w:rPr>
            </w:pPr>
            <w:r>
              <w:rPr>
                <w:rFonts w:ascii="Times New Roman" w:hAnsi="Times New Roman" w:eastAsia="仿宋_GB2312"/>
                <w:kern w:val="0"/>
                <w:szCs w:val="21"/>
              </w:rPr>
              <w:t>发展改革委、财政厅</w:t>
            </w:r>
          </w:p>
        </w:tc>
      </w:tr>
      <w:tr>
        <w:tblPrEx>
          <w:tblCellMar>
            <w:top w:w="0" w:type="dxa"/>
            <w:left w:w="0" w:type="dxa"/>
            <w:bottom w:w="0" w:type="dxa"/>
            <w:right w:w="0" w:type="dxa"/>
          </w:tblCellMar>
        </w:tblPrEx>
        <w:trPr>
          <w:gridAfter w:val="1"/>
          <w:wAfter w:w="11" w:type="dxa"/>
          <w:trHeight w:val="374"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348"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b/>
                <w:bCs/>
                <w:kern w:val="0"/>
                <w:szCs w:val="21"/>
              </w:rPr>
            </w:pPr>
            <w:r>
              <w:rPr>
                <w:rFonts w:ascii="Times New Roman" w:hAnsi="Times New Roman" w:eastAsia="仿宋_GB2312"/>
                <w:b/>
                <w:bCs/>
                <w:kern w:val="0"/>
                <w:szCs w:val="21"/>
              </w:rPr>
              <w:t>二十二、高质量教育体系建设重点工程项目</w:t>
            </w:r>
          </w:p>
        </w:tc>
      </w:tr>
      <w:tr>
        <w:tblPrEx>
          <w:tblCellMar>
            <w:top w:w="0" w:type="dxa"/>
            <w:left w:w="0" w:type="dxa"/>
            <w:bottom w:w="0" w:type="dxa"/>
            <w:right w:w="0" w:type="dxa"/>
          </w:tblCellMar>
        </w:tblPrEx>
        <w:trPr>
          <w:gridAfter w:val="1"/>
          <w:wAfter w:w="11" w:type="dxa"/>
          <w:trHeight w:val="79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115</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学前教育普及普惠发展工程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spacing w:val="6"/>
                <w:kern w:val="0"/>
                <w:szCs w:val="21"/>
              </w:rPr>
              <w:t>规范城镇小区配套幼儿园建设，重点扩大农村地区、移民安置区、新增人口集中区普惠学前教育资源，新建幼儿园80所，增加学前教育学位2.4万个</w:t>
            </w:r>
            <w:r>
              <w:rPr>
                <w:rFonts w:ascii="Times New Roman" w:hAnsi="Times New Roman" w:eastAsia="仿宋_GB2312"/>
                <w:kern w:val="0"/>
                <w:szCs w:val="21"/>
              </w:rPr>
              <w:t>。</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教育厅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住房城乡建设厅</w:t>
            </w:r>
          </w:p>
        </w:tc>
      </w:tr>
      <w:tr>
        <w:tblPrEx>
          <w:tblCellMar>
            <w:top w:w="0" w:type="dxa"/>
            <w:left w:w="0" w:type="dxa"/>
            <w:bottom w:w="0" w:type="dxa"/>
            <w:right w:w="0" w:type="dxa"/>
          </w:tblCellMar>
        </w:tblPrEx>
        <w:trPr>
          <w:gridAfter w:val="1"/>
          <w:wAfter w:w="11" w:type="dxa"/>
          <w:trHeight w:val="1304"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116</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义务教育优质均衡发展工程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重点加强县城学校扩容增位和乡村薄弱学校建设，新建改扩建小学43所、初中12所，推进义务教育学校标准化建设，力争50%的县（市、区）通过义务教育优质均衡国家认定。</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教育厅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发展改革委、财政厅</w:t>
            </w:r>
          </w:p>
        </w:tc>
      </w:tr>
      <w:tr>
        <w:tblPrEx>
          <w:tblCellMar>
            <w:top w:w="0" w:type="dxa"/>
            <w:left w:w="0" w:type="dxa"/>
            <w:bottom w:w="0" w:type="dxa"/>
            <w:right w:w="0" w:type="dxa"/>
          </w:tblCellMar>
        </w:tblPrEx>
        <w:trPr>
          <w:gridAfter w:val="1"/>
          <w:wAfter w:w="11" w:type="dxa"/>
          <w:trHeight w:val="1003"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117</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普通高中优质特色发展工程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实施高中阶段教育普及攻坚计划，新建改扩建普通高中18所，化解普通高中大班额；建设科技、艺术、体育类等特色高中15所左右。</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教育厅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rPr>
                <w:rFonts w:ascii="Times New Roman" w:hAnsi="Times New Roman" w:eastAsia="仿宋_GB2312"/>
                <w:szCs w:val="21"/>
              </w:rPr>
            </w:pPr>
            <w:r>
              <w:rPr>
                <w:rFonts w:ascii="Times New Roman" w:hAnsi="Times New Roman" w:eastAsia="仿宋_GB2312"/>
                <w:kern w:val="0"/>
                <w:szCs w:val="21"/>
              </w:rPr>
              <w:t>发展改革委、财政厅</w:t>
            </w:r>
          </w:p>
        </w:tc>
      </w:tr>
      <w:tr>
        <w:tblPrEx>
          <w:tblCellMar>
            <w:top w:w="0" w:type="dxa"/>
            <w:left w:w="0" w:type="dxa"/>
            <w:bottom w:w="0" w:type="dxa"/>
            <w:right w:w="0" w:type="dxa"/>
          </w:tblCellMar>
        </w:tblPrEx>
        <w:trPr>
          <w:gridAfter w:val="1"/>
          <w:wAfter w:w="11" w:type="dxa"/>
          <w:trHeight w:val="167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118</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职业教育产教融合工程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建设国家职业教育虚拟仿真示范实训基地、宁夏职业技术学院健康养老教育实训基地、宁夏葡萄酒与防沙治沙学院教学实验实训基地，新建高水平产教融合型实训基地10个，培育产教融合型企业50家以上。</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教育厅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林草局</w:t>
            </w:r>
          </w:p>
        </w:tc>
      </w:tr>
      <w:tr>
        <w:tblPrEx>
          <w:tblCellMar>
            <w:top w:w="0" w:type="dxa"/>
            <w:left w:w="0" w:type="dxa"/>
            <w:bottom w:w="0" w:type="dxa"/>
            <w:right w:w="0" w:type="dxa"/>
          </w:tblCellMar>
        </w:tblPrEx>
        <w:trPr>
          <w:gridAfter w:val="1"/>
          <w:wAfter w:w="11" w:type="dxa"/>
          <w:trHeight w:val="29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119</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高等教育内涵式发展工程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实施宁夏大学新农科人才培养与创新研究院、宁夏理工学院科教融合创新园、宁夏师范学院师范生综合素养与创新能力教学实践基地和教学科研实验实训楼、宁夏医科大学公共卫生实验实训楼等项目，建设中国人民大学宁夏国际学院。实施高等教</w:t>
            </w:r>
            <w:r>
              <w:rPr>
                <w:rFonts w:hint="eastAsia" w:ascii="仿宋_GB2312" w:hAnsi="仿宋_GB2312" w:eastAsia="仿宋_GB2312" w:cs="仿宋_GB2312"/>
                <w:kern w:val="0"/>
                <w:szCs w:val="21"/>
              </w:rPr>
              <w:t>育“双一流”建设工</w:t>
            </w:r>
            <w:r>
              <w:rPr>
                <w:rFonts w:ascii="Times New Roman" w:hAnsi="Times New Roman" w:eastAsia="仿宋_GB2312"/>
                <w:kern w:val="0"/>
                <w:szCs w:val="21"/>
              </w:rPr>
              <w:t>程，建成一流学科20个、一流本科专业100个，培育一流学科建设团队30个，新增一级学科博士学位点5个以上、一级学科硕士学位点8—10个、专业硕士学位点20个。</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教育厅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发展改革委、财政厅</w:t>
            </w:r>
          </w:p>
        </w:tc>
      </w:tr>
      <w:tr>
        <w:tblPrEx>
          <w:tblCellMar>
            <w:top w:w="0" w:type="dxa"/>
            <w:left w:w="0" w:type="dxa"/>
            <w:bottom w:w="0" w:type="dxa"/>
            <w:right w:w="0" w:type="dxa"/>
          </w:tblCellMar>
        </w:tblPrEx>
        <w:trPr>
          <w:gridBefore w:val="1"/>
          <w:wBefore w:w="11" w:type="dxa"/>
          <w:trHeight w:val="371"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仿宋_GB2312" w:hAnsi="仿宋_GB2312" w:eastAsia="仿宋_GB2312" w:cs="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135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120</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“互联网+教育”示范区建设工程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改造升级宁夏教育云平台，推进专递课堂、名师课堂和名校网络课堂融合应用，实施智慧校园建设、人工智能助推教师队伍建设、网络思想政治系统建设、教育治理系统建设等。</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教育厅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发展改革委、财政厅</w:t>
            </w:r>
          </w:p>
        </w:tc>
      </w:tr>
      <w:tr>
        <w:tblPrEx>
          <w:tblCellMar>
            <w:top w:w="0" w:type="dxa"/>
            <w:left w:w="0" w:type="dxa"/>
            <w:bottom w:w="0" w:type="dxa"/>
            <w:right w:w="0" w:type="dxa"/>
          </w:tblCellMar>
        </w:tblPrEx>
        <w:trPr>
          <w:gridAfter w:val="1"/>
          <w:wAfter w:w="11" w:type="dxa"/>
          <w:trHeight w:val="414"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b/>
                <w:bCs/>
                <w:kern w:val="0"/>
                <w:szCs w:val="21"/>
              </w:rPr>
            </w:pPr>
            <w:r>
              <w:rPr>
                <w:rFonts w:ascii="Times New Roman" w:hAnsi="Times New Roman" w:eastAsia="仿宋_GB2312"/>
                <w:b/>
                <w:bCs/>
                <w:kern w:val="0"/>
                <w:szCs w:val="21"/>
              </w:rPr>
              <w:t>二十三、城乡居民健康水平提升重点工程项目</w:t>
            </w:r>
          </w:p>
        </w:tc>
      </w:tr>
      <w:tr>
        <w:tblPrEx>
          <w:tblCellMar>
            <w:top w:w="0" w:type="dxa"/>
            <w:left w:w="0" w:type="dxa"/>
            <w:bottom w:w="0" w:type="dxa"/>
            <w:right w:w="0" w:type="dxa"/>
          </w:tblCellMar>
        </w:tblPrEx>
        <w:trPr>
          <w:gridAfter w:val="1"/>
          <w:wAfter w:w="11" w:type="dxa"/>
          <w:trHeight w:val="144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121</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现代化疾控体系建设工程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新建自治区疾病预防控制中心，建成生物安全三级实验室；新建改扩建五</w:t>
            </w:r>
            <w:r>
              <w:rPr>
                <w:rFonts w:hint="eastAsia" w:ascii="Times New Roman" w:hAnsi="Times New Roman" w:eastAsia="仿宋_GB2312"/>
                <w:kern w:val="0"/>
                <w:szCs w:val="21"/>
              </w:rPr>
              <w:t>个地级</w:t>
            </w:r>
            <w:r>
              <w:rPr>
                <w:rFonts w:ascii="Times New Roman" w:hAnsi="Times New Roman" w:eastAsia="仿宋_GB2312"/>
                <w:kern w:val="0"/>
                <w:szCs w:val="21"/>
              </w:rPr>
              <w:t>市疾病预防控制中心，实现生物安全二级实验室市级全覆盖；改造升级县级疾控中心实验室条件，提升传染病发现和检验检测能力。</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卫生健康委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发展改革委、财政厅</w:t>
            </w:r>
          </w:p>
        </w:tc>
      </w:tr>
      <w:tr>
        <w:tblPrEx>
          <w:tblCellMar>
            <w:top w:w="0" w:type="dxa"/>
            <w:left w:w="0" w:type="dxa"/>
            <w:bottom w:w="0" w:type="dxa"/>
            <w:right w:w="0" w:type="dxa"/>
          </w:tblCellMar>
        </w:tblPrEx>
        <w:trPr>
          <w:gridAfter w:val="1"/>
          <w:wAfter w:w="11" w:type="dxa"/>
          <w:trHeight w:val="109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122</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突发公共卫生事件应急处置能力提升工程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建设国家紧急医学救援基地，建设自治区重大疫情救治基地；建设全区统一的突发公共卫生事件应急指挥信息管理系统；完善急救站（点）设置。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卫生健康委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应急厅</w:t>
            </w:r>
          </w:p>
        </w:tc>
      </w:tr>
      <w:tr>
        <w:tblPrEx>
          <w:tblCellMar>
            <w:top w:w="0" w:type="dxa"/>
            <w:left w:w="0" w:type="dxa"/>
            <w:bottom w:w="0" w:type="dxa"/>
            <w:right w:w="0" w:type="dxa"/>
          </w:tblCellMar>
        </w:tblPrEx>
        <w:trPr>
          <w:gridAfter w:val="1"/>
          <w:wAfter w:w="11" w:type="dxa"/>
          <w:trHeight w:val="1372"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123</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医疗卫生机构高质量发展工程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建设自治区第五人民医院、固原市人民医院省级区域医疗中心；升级改善地市级人民医院设施装备条件，实现每个地市都有三甲医院；提标扩能原国定贫困县县级综合医院，基本达到三级医院硬件要求。</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卫生健康委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kern w:val="0"/>
                <w:szCs w:val="21"/>
              </w:rPr>
            </w:pPr>
            <w:r>
              <w:rPr>
                <w:rFonts w:ascii="Times New Roman" w:hAnsi="Times New Roman" w:eastAsia="仿宋_GB2312"/>
                <w:kern w:val="0"/>
                <w:szCs w:val="21"/>
              </w:rPr>
              <w:t>发展改革委、财政厅</w:t>
            </w:r>
            <w:r>
              <w:rPr>
                <w:rFonts w:hint="eastAsia" w:ascii="Times New Roman" w:hAnsi="Times New Roman" w:eastAsia="仿宋_GB2312"/>
                <w:kern w:val="0"/>
                <w:szCs w:val="21"/>
              </w:rPr>
              <w:t>、</w:t>
            </w:r>
          </w:p>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银川市、石嘴山市、吴忠市、</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固原市、中卫市</w:t>
            </w:r>
          </w:p>
        </w:tc>
      </w:tr>
      <w:tr>
        <w:tblPrEx>
          <w:tblCellMar>
            <w:top w:w="0" w:type="dxa"/>
            <w:left w:w="0" w:type="dxa"/>
            <w:bottom w:w="0" w:type="dxa"/>
            <w:right w:w="0" w:type="dxa"/>
          </w:tblCellMar>
        </w:tblPrEx>
        <w:trPr>
          <w:gridAfter w:val="1"/>
          <w:wAfter w:w="11" w:type="dxa"/>
          <w:trHeight w:val="1614"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124</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社区医疗卫生机构达标工程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新建改扩建城市社区卫生服务中心40所，全区80%的城市社区卫生服务中心服务能力达到国家基本标准，20%的城市社区卫生服务中心服务能力达到国家推荐标准，推动部分达到推荐标准的社区卫生服务中心升级为社区医院。</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卫生健康委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发展改革委、财政厅</w:t>
            </w:r>
          </w:p>
        </w:tc>
      </w:tr>
      <w:tr>
        <w:tblPrEx>
          <w:tblCellMar>
            <w:top w:w="0" w:type="dxa"/>
            <w:left w:w="0" w:type="dxa"/>
            <w:bottom w:w="0" w:type="dxa"/>
            <w:right w:w="0" w:type="dxa"/>
          </w:tblCellMar>
        </w:tblPrEx>
        <w:trPr>
          <w:gridAfter w:val="1"/>
          <w:wAfter w:w="11" w:type="dxa"/>
          <w:trHeight w:val="893"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125</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促进中医药传承创新工程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建设银川市中医医院、自治区中医医院门急诊综合楼，建设自治区中医疫病防治基地，改善市县级中医医院设施条件。</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卫生健康委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r>
              <w:rPr>
                <w:rFonts w:hint="eastAsia" w:ascii="Times New Roman" w:hAnsi="Times New Roman" w:eastAsia="仿宋_GB2312"/>
                <w:kern w:val="0"/>
                <w:szCs w:val="21"/>
              </w:rPr>
              <w:t>、</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银川市</w:t>
            </w:r>
          </w:p>
        </w:tc>
      </w:tr>
      <w:tr>
        <w:tblPrEx>
          <w:tblCellMar>
            <w:top w:w="0" w:type="dxa"/>
            <w:left w:w="0" w:type="dxa"/>
            <w:bottom w:w="0" w:type="dxa"/>
            <w:right w:w="0" w:type="dxa"/>
          </w:tblCellMar>
        </w:tblPrEx>
        <w:trPr>
          <w:gridBefore w:val="1"/>
          <w:wBefore w:w="11" w:type="dxa"/>
          <w:trHeight w:val="427"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1754"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126</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全民健身服务体系建设工程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实施宁夏贺兰山冬季运动项目训练基地、青少年足球篮球排球综合训练基地、城市市民体育休闲公园等项目；实施健身场地设施建设工程，新建社区多功能运动场160个、健身步道500公里，完善县乡级全民健身中心；实施青少年体育发展促进工程，完善区市县三级青少年业余训练体系。</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体育局</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住房城乡建设厅</w:t>
            </w:r>
          </w:p>
        </w:tc>
      </w:tr>
      <w:tr>
        <w:tblPrEx>
          <w:tblCellMar>
            <w:top w:w="0" w:type="dxa"/>
            <w:left w:w="0" w:type="dxa"/>
            <w:bottom w:w="0" w:type="dxa"/>
            <w:right w:w="0" w:type="dxa"/>
          </w:tblCellMar>
        </w:tblPrEx>
        <w:trPr>
          <w:gridAfter w:val="1"/>
          <w:wAfter w:w="11" w:type="dxa"/>
          <w:trHeight w:val="1152"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127</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“互联网+医疗健康”示范区建设工程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建设银川市、中卫市健康医疗大数据中心及产业园；搭建涵盖互联网医疗平台、互联网诊断平台、互联网医药平台、互联网运营监管平台的全区一体化全民健康信息平台，建设智慧医疗服务体系。</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卫生健康委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r>
              <w:rPr>
                <w:rFonts w:hint="eastAsia" w:ascii="Times New Roman" w:hAnsi="Times New Roman" w:eastAsia="仿宋_GB2312"/>
                <w:kern w:val="0"/>
                <w:szCs w:val="21"/>
              </w:rPr>
              <w:t>、</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银川市、中卫市</w:t>
            </w:r>
          </w:p>
        </w:tc>
      </w:tr>
      <w:tr>
        <w:tblPrEx>
          <w:tblCellMar>
            <w:top w:w="0" w:type="dxa"/>
            <w:left w:w="0" w:type="dxa"/>
            <w:bottom w:w="0" w:type="dxa"/>
            <w:right w:w="0" w:type="dxa"/>
          </w:tblCellMar>
        </w:tblPrEx>
        <w:trPr>
          <w:gridAfter w:val="1"/>
          <w:wAfter w:w="11" w:type="dxa"/>
          <w:trHeight w:val="348"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b/>
                <w:bCs/>
                <w:kern w:val="0"/>
                <w:szCs w:val="21"/>
              </w:rPr>
            </w:pPr>
            <w:r>
              <w:rPr>
                <w:rFonts w:ascii="Times New Roman" w:hAnsi="Times New Roman" w:eastAsia="仿宋_GB2312"/>
                <w:b/>
                <w:bCs/>
                <w:kern w:val="0"/>
                <w:szCs w:val="21"/>
              </w:rPr>
              <w:t>二十四、社会保障体系建设重点工程项目</w:t>
            </w:r>
          </w:p>
        </w:tc>
      </w:tr>
      <w:tr>
        <w:tblPrEx>
          <w:tblCellMar>
            <w:top w:w="0" w:type="dxa"/>
            <w:left w:w="0" w:type="dxa"/>
            <w:bottom w:w="0" w:type="dxa"/>
            <w:right w:w="0" w:type="dxa"/>
          </w:tblCellMar>
        </w:tblPrEx>
        <w:trPr>
          <w:gridAfter w:val="1"/>
          <w:wAfter w:w="11" w:type="dxa"/>
          <w:trHeight w:val="1444"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128</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“一老一小”服务体系建设工程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建设银川市、贺兰县、盐池县、西吉县、沙坡头区等12个老年养护院，新建改建33所县乡级敬老院，建设200个农村老饭桌项目和100个社区老年人日间照料中心，建设社区医养结合中心；建设示范性托育服务机构50家以上。</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民政厅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发展改革委、财政厅</w:t>
            </w:r>
          </w:p>
        </w:tc>
      </w:tr>
      <w:tr>
        <w:tblPrEx>
          <w:tblCellMar>
            <w:top w:w="0" w:type="dxa"/>
            <w:left w:w="0" w:type="dxa"/>
            <w:bottom w:w="0" w:type="dxa"/>
            <w:right w:w="0" w:type="dxa"/>
          </w:tblCellMar>
        </w:tblPrEx>
        <w:trPr>
          <w:gridAfter w:val="1"/>
          <w:wAfter w:w="11" w:type="dxa"/>
          <w:trHeight w:val="1013"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2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129</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20" w:lineRule="exact"/>
              <w:jc w:val="left"/>
              <w:textAlignment w:val="center"/>
              <w:rPr>
                <w:rFonts w:ascii="Times New Roman" w:hAnsi="Times New Roman" w:eastAsia="仿宋_GB2312"/>
                <w:szCs w:val="21"/>
              </w:rPr>
            </w:pPr>
            <w:r>
              <w:rPr>
                <w:rFonts w:ascii="Times New Roman" w:hAnsi="Times New Roman" w:eastAsia="仿宋_GB2312"/>
                <w:kern w:val="0"/>
                <w:szCs w:val="21"/>
              </w:rPr>
              <w:t>社会保障管理平台建设工程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20" w:lineRule="exact"/>
              <w:textAlignment w:val="center"/>
              <w:rPr>
                <w:rFonts w:ascii="Times New Roman" w:hAnsi="Times New Roman" w:eastAsia="仿宋_GB2312"/>
                <w:szCs w:val="21"/>
              </w:rPr>
            </w:pPr>
            <w:r>
              <w:rPr>
                <w:rFonts w:ascii="Times New Roman" w:hAnsi="Times New Roman" w:eastAsia="仿宋_GB2312"/>
                <w:kern w:val="0"/>
                <w:szCs w:val="21"/>
              </w:rPr>
              <w:t>升级改造社会保险信息系统，建设医疗保障信息管理平台；健全社会保障卡、医保电子凭证规范管理和安全保障体系。</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20" w:lineRule="exact"/>
              <w:jc w:val="center"/>
              <w:textAlignment w:val="center"/>
              <w:rPr>
                <w:rFonts w:ascii="Times New Roman" w:hAnsi="Times New Roman" w:eastAsia="仿宋_GB2312"/>
                <w:szCs w:val="21"/>
              </w:rPr>
            </w:pPr>
            <w:r>
              <w:rPr>
                <w:rFonts w:ascii="Times New Roman" w:hAnsi="Times New Roman" w:eastAsia="仿宋_GB2312"/>
                <w:kern w:val="0"/>
                <w:szCs w:val="21"/>
              </w:rPr>
              <w:t>人力资源社会保障厅、医保局</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20" w:lineRule="exact"/>
              <w:jc w:val="center"/>
              <w:textAlignment w:val="center"/>
              <w:rPr>
                <w:rFonts w:ascii="Times New Roman" w:hAnsi="Times New Roman" w:eastAsia="仿宋_GB2312"/>
                <w:szCs w:val="21"/>
              </w:rPr>
            </w:pPr>
            <w:r>
              <w:rPr>
                <w:rFonts w:ascii="Times New Roman" w:hAnsi="Times New Roman" w:eastAsia="仿宋_GB2312"/>
                <w:kern w:val="0"/>
                <w:szCs w:val="21"/>
              </w:rPr>
              <w:t>发展改革委、财政厅</w:t>
            </w:r>
          </w:p>
        </w:tc>
      </w:tr>
      <w:tr>
        <w:tblPrEx>
          <w:tblCellMar>
            <w:top w:w="0" w:type="dxa"/>
            <w:left w:w="0" w:type="dxa"/>
            <w:bottom w:w="0" w:type="dxa"/>
            <w:right w:w="0" w:type="dxa"/>
          </w:tblCellMar>
        </w:tblPrEx>
        <w:trPr>
          <w:gridAfter w:val="1"/>
          <w:wAfter w:w="11" w:type="dxa"/>
          <w:trHeight w:val="9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2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130</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20" w:lineRule="exact"/>
              <w:jc w:val="left"/>
              <w:textAlignment w:val="center"/>
              <w:rPr>
                <w:rFonts w:ascii="Times New Roman" w:hAnsi="Times New Roman" w:eastAsia="仿宋_GB2312"/>
                <w:szCs w:val="21"/>
              </w:rPr>
            </w:pPr>
            <w:r>
              <w:rPr>
                <w:rFonts w:ascii="Times New Roman" w:hAnsi="Times New Roman" w:eastAsia="仿宋_GB2312"/>
                <w:kern w:val="0"/>
                <w:szCs w:val="21"/>
              </w:rPr>
              <w:t>退役军人褒扬优抚服务建设工程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20" w:lineRule="exact"/>
              <w:textAlignment w:val="center"/>
              <w:rPr>
                <w:rFonts w:ascii="Times New Roman" w:hAnsi="Times New Roman" w:eastAsia="仿宋_GB2312"/>
                <w:szCs w:val="21"/>
              </w:rPr>
            </w:pPr>
            <w:r>
              <w:rPr>
                <w:rFonts w:ascii="Times New Roman" w:hAnsi="Times New Roman" w:eastAsia="仿宋_GB2312"/>
                <w:kern w:val="0"/>
                <w:szCs w:val="21"/>
              </w:rPr>
              <w:t>完善全区五级退役军人服务体系建设；改造保护烈士陵园，推进自治区荣军医院和银川市、石嘴山市、吴忠市、中卫市光荣院建设；建设军人公墓。</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20" w:lineRule="exact"/>
              <w:jc w:val="center"/>
              <w:textAlignment w:val="center"/>
              <w:rPr>
                <w:rFonts w:ascii="Times New Roman" w:hAnsi="Times New Roman" w:eastAsia="仿宋_GB2312"/>
                <w:szCs w:val="21"/>
              </w:rPr>
            </w:pPr>
            <w:r>
              <w:rPr>
                <w:rFonts w:ascii="Times New Roman" w:hAnsi="Times New Roman" w:eastAsia="仿宋_GB2312"/>
                <w:kern w:val="0"/>
                <w:szCs w:val="21"/>
              </w:rPr>
              <w:t>退役军人厅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20" w:lineRule="exact"/>
              <w:jc w:val="center"/>
              <w:rPr>
                <w:rFonts w:ascii="Times New Roman" w:hAnsi="Times New Roman" w:eastAsia="仿宋_GB2312"/>
                <w:szCs w:val="21"/>
              </w:rPr>
            </w:pPr>
            <w:r>
              <w:rPr>
                <w:rFonts w:ascii="Times New Roman" w:hAnsi="Times New Roman" w:eastAsia="仿宋_GB2312"/>
                <w:kern w:val="0"/>
                <w:szCs w:val="21"/>
              </w:rPr>
              <w:t>民政厅、发展改革委、财政厅、自然资源厅</w:t>
            </w:r>
            <w:r>
              <w:rPr>
                <w:rFonts w:hint="eastAsia" w:ascii="Times New Roman" w:hAnsi="Times New Roman" w:eastAsia="仿宋_GB2312"/>
                <w:kern w:val="0"/>
                <w:szCs w:val="21"/>
              </w:rPr>
              <w:t>、</w:t>
            </w:r>
            <w:r>
              <w:rPr>
                <w:rFonts w:ascii="Times New Roman" w:hAnsi="Times New Roman" w:eastAsia="仿宋_GB2312"/>
                <w:kern w:val="0"/>
                <w:szCs w:val="21"/>
              </w:rPr>
              <w:t>银川市、石嘴山市、吴忠市、中卫市</w:t>
            </w:r>
          </w:p>
        </w:tc>
      </w:tr>
      <w:tr>
        <w:tblPrEx>
          <w:tblCellMar>
            <w:top w:w="0" w:type="dxa"/>
            <w:left w:w="0" w:type="dxa"/>
            <w:bottom w:w="0" w:type="dxa"/>
            <w:right w:w="0" w:type="dxa"/>
          </w:tblCellMar>
        </w:tblPrEx>
        <w:trPr>
          <w:gridAfter w:val="1"/>
          <w:wAfter w:w="11" w:type="dxa"/>
          <w:trHeight w:val="1249"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2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131</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20" w:lineRule="exact"/>
              <w:jc w:val="left"/>
              <w:textAlignment w:val="center"/>
              <w:rPr>
                <w:rFonts w:ascii="Times New Roman" w:hAnsi="Times New Roman" w:eastAsia="仿宋_GB2312"/>
                <w:szCs w:val="21"/>
              </w:rPr>
            </w:pPr>
            <w:r>
              <w:rPr>
                <w:rFonts w:ascii="Times New Roman" w:hAnsi="Times New Roman" w:eastAsia="仿宋_GB2312"/>
                <w:kern w:val="0"/>
                <w:szCs w:val="21"/>
              </w:rPr>
              <w:t>妇女儿童关爱服务体系建设工程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20" w:lineRule="exact"/>
              <w:textAlignment w:val="center"/>
              <w:rPr>
                <w:rFonts w:ascii="Times New Roman" w:hAnsi="Times New Roman" w:eastAsia="仿宋_GB2312"/>
                <w:szCs w:val="21"/>
              </w:rPr>
            </w:pPr>
            <w:r>
              <w:rPr>
                <w:rFonts w:ascii="Times New Roman" w:hAnsi="Times New Roman" w:eastAsia="仿宋_GB2312"/>
                <w:kern w:val="0"/>
                <w:szCs w:val="21"/>
              </w:rPr>
              <w:t>实施自治区级综合医院儿童病区建设项目，改造升级五</w:t>
            </w:r>
            <w:r>
              <w:rPr>
                <w:rFonts w:hint="eastAsia" w:ascii="Times New Roman" w:hAnsi="Times New Roman" w:eastAsia="仿宋_GB2312"/>
                <w:kern w:val="0"/>
                <w:szCs w:val="21"/>
              </w:rPr>
              <w:t>个地级</w:t>
            </w:r>
            <w:r>
              <w:rPr>
                <w:rFonts w:ascii="Times New Roman" w:hAnsi="Times New Roman" w:eastAsia="仿宋_GB2312"/>
                <w:kern w:val="0"/>
                <w:szCs w:val="21"/>
              </w:rPr>
              <w:t>市妇幼保健机构设施设备；实施未成年人救助保护中心建设项目，巩固提高城乡社区“儿童之家”建设覆盖率。</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20" w:lineRule="exact"/>
              <w:jc w:val="center"/>
              <w:textAlignment w:val="center"/>
              <w:rPr>
                <w:rFonts w:ascii="Times New Roman" w:hAnsi="Times New Roman" w:eastAsia="仿宋_GB2312"/>
                <w:kern w:val="0"/>
                <w:szCs w:val="21"/>
              </w:rPr>
            </w:pPr>
            <w:r>
              <w:rPr>
                <w:rFonts w:ascii="Times New Roman" w:hAnsi="Times New Roman" w:eastAsia="仿宋_GB2312"/>
                <w:kern w:val="0"/>
                <w:szCs w:val="21"/>
              </w:rPr>
              <w:t>卫生健康委、</w:t>
            </w:r>
          </w:p>
          <w:p>
            <w:pPr>
              <w:widowControl/>
              <w:spacing w:line="320" w:lineRule="exact"/>
              <w:jc w:val="center"/>
              <w:textAlignment w:val="center"/>
              <w:rPr>
                <w:rFonts w:ascii="Times New Roman" w:hAnsi="Times New Roman" w:eastAsia="仿宋_GB2312"/>
                <w:szCs w:val="21"/>
              </w:rPr>
            </w:pPr>
            <w:r>
              <w:rPr>
                <w:rFonts w:ascii="Times New Roman" w:hAnsi="Times New Roman" w:eastAsia="仿宋_GB2312"/>
                <w:kern w:val="0"/>
                <w:szCs w:val="21"/>
              </w:rPr>
              <w:t>民政厅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20" w:lineRule="exact"/>
              <w:jc w:val="center"/>
              <w:rPr>
                <w:rFonts w:ascii="Times New Roman" w:hAnsi="Times New Roman" w:eastAsia="仿宋_GB2312"/>
                <w:szCs w:val="21"/>
              </w:rPr>
            </w:pPr>
            <w:r>
              <w:rPr>
                <w:rFonts w:ascii="Times New Roman" w:hAnsi="Times New Roman" w:eastAsia="仿宋_GB2312"/>
                <w:kern w:val="0"/>
                <w:szCs w:val="21"/>
              </w:rPr>
              <w:t>发展改革委、财政厅、</w:t>
            </w:r>
            <w:r>
              <w:rPr>
                <w:rFonts w:ascii="Times New Roman" w:hAnsi="Times New Roman" w:eastAsia="仿宋_GB2312"/>
                <w:szCs w:val="21"/>
              </w:rPr>
              <w:t>妇联</w:t>
            </w:r>
          </w:p>
        </w:tc>
      </w:tr>
      <w:tr>
        <w:tblPrEx>
          <w:tblCellMar>
            <w:top w:w="0" w:type="dxa"/>
            <w:left w:w="0" w:type="dxa"/>
            <w:bottom w:w="0" w:type="dxa"/>
            <w:right w:w="0" w:type="dxa"/>
          </w:tblCellMar>
        </w:tblPrEx>
        <w:trPr>
          <w:gridBefore w:val="1"/>
          <w:wBefore w:w="11" w:type="dxa"/>
          <w:trHeight w:val="372"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246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2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132</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20" w:lineRule="exact"/>
              <w:jc w:val="left"/>
              <w:textAlignment w:val="center"/>
              <w:rPr>
                <w:rFonts w:ascii="Times New Roman" w:hAnsi="Times New Roman" w:eastAsia="仿宋_GB2312"/>
                <w:szCs w:val="21"/>
              </w:rPr>
            </w:pPr>
            <w:r>
              <w:rPr>
                <w:rFonts w:ascii="Times New Roman" w:hAnsi="Times New Roman" w:eastAsia="仿宋_GB2312"/>
                <w:kern w:val="0"/>
                <w:szCs w:val="21"/>
              </w:rPr>
              <w:t>残疾人服务及流浪乞讨人员救助体系建设工程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textAlignment w:val="center"/>
              <w:rPr>
                <w:rFonts w:ascii="Times New Roman" w:hAnsi="Times New Roman" w:eastAsia="仿宋_GB2312"/>
                <w:szCs w:val="21"/>
              </w:rPr>
            </w:pPr>
            <w:r>
              <w:rPr>
                <w:rFonts w:ascii="Times New Roman" w:hAnsi="Times New Roman" w:eastAsia="仿宋_GB2312"/>
                <w:kern w:val="0"/>
                <w:szCs w:val="21"/>
              </w:rPr>
              <w:t>实施宁夏盲人按摩医院、残疾人服务、康复、托养和综合服务设施建设，改造无障碍设施；推进吴忠市、固原市精神卫生福利机构建设，完善流浪乞讨人员救助管理站设施，改造老旧救助管理站，实现地级市精神卫</w:t>
            </w:r>
            <w:r>
              <w:rPr>
                <w:rFonts w:hint="eastAsia" w:ascii="仿宋_GB2312" w:hAnsi="仿宋_GB2312" w:eastAsia="仿宋_GB2312" w:cs="仿宋_GB2312"/>
                <w:kern w:val="0"/>
                <w:szCs w:val="21"/>
              </w:rPr>
              <w:t>生福利机构和县级救助服务网络全覆盖；实施康复护理“城医联动”项</w:t>
            </w:r>
            <w:r>
              <w:rPr>
                <w:rFonts w:ascii="Times New Roman" w:hAnsi="Times New Roman" w:eastAsia="仿宋_GB2312"/>
                <w:kern w:val="0"/>
                <w:szCs w:val="21"/>
              </w:rPr>
              <w:t>目，将部分一二级医院改建为康复护理机构。</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20" w:lineRule="exact"/>
              <w:jc w:val="center"/>
              <w:textAlignment w:val="center"/>
              <w:rPr>
                <w:rFonts w:ascii="Times New Roman" w:hAnsi="Times New Roman" w:eastAsia="仿宋_GB2312"/>
                <w:kern w:val="0"/>
                <w:szCs w:val="21"/>
              </w:rPr>
            </w:pPr>
            <w:r>
              <w:rPr>
                <w:rFonts w:ascii="Times New Roman" w:hAnsi="Times New Roman" w:eastAsia="仿宋_GB2312"/>
                <w:kern w:val="0"/>
                <w:szCs w:val="21"/>
              </w:rPr>
              <w:t>民政厅、</w:t>
            </w:r>
          </w:p>
          <w:p>
            <w:pPr>
              <w:widowControl/>
              <w:spacing w:line="320" w:lineRule="exact"/>
              <w:jc w:val="center"/>
              <w:textAlignment w:val="center"/>
              <w:rPr>
                <w:rFonts w:ascii="Times New Roman" w:hAnsi="Times New Roman" w:eastAsia="仿宋_GB2312"/>
                <w:szCs w:val="21"/>
              </w:rPr>
            </w:pPr>
            <w:r>
              <w:rPr>
                <w:rFonts w:ascii="Times New Roman" w:hAnsi="Times New Roman" w:eastAsia="仿宋_GB2312"/>
                <w:kern w:val="0"/>
                <w:szCs w:val="21"/>
              </w:rPr>
              <w:t>卫生健康委、残联</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20" w:lineRule="exact"/>
              <w:jc w:val="center"/>
              <w:rPr>
                <w:rFonts w:ascii="Times New Roman" w:hAnsi="Times New Roman" w:eastAsia="仿宋_GB2312"/>
                <w:kern w:val="0"/>
                <w:szCs w:val="21"/>
              </w:rPr>
            </w:pPr>
            <w:r>
              <w:rPr>
                <w:rFonts w:ascii="Times New Roman" w:hAnsi="Times New Roman" w:eastAsia="仿宋_GB2312"/>
                <w:kern w:val="0"/>
                <w:szCs w:val="21"/>
              </w:rPr>
              <w:t>发展改革委、财政厅</w:t>
            </w:r>
            <w:r>
              <w:rPr>
                <w:rFonts w:hint="eastAsia" w:ascii="Times New Roman" w:hAnsi="Times New Roman" w:eastAsia="仿宋_GB2312"/>
                <w:kern w:val="0"/>
                <w:szCs w:val="21"/>
              </w:rPr>
              <w:t>、</w:t>
            </w:r>
          </w:p>
          <w:p>
            <w:pPr>
              <w:widowControl/>
              <w:spacing w:line="320" w:lineRule="exact"/>
              <w:jc w:val="center"/>
              <w:rPr>
                <w:rFonts w:ascii="Times New Roman" w:hAnsi="Times New Roman" w:eastAsia="仿宋_GB2312"/>
                <w:szCs w:val="21"/>
              </w:rPr>
            </w:pPr>
            <w:r>
              <w:rPr>
                <w:rFonts w:ascii="Times New Roman" w:hAnsi="Times New Roman" w:eastAsia="仿宋_GB2312"/>
                <w:kern w:val="0"/>
                <w:szCs w:val="21"/>
              </w:rPr>
              <w:t>吴忠市、固原市</w:t>
            </w:r>
          </w:p>
        </w:tc>
      </w:tr>
      <w:tr>
        <w:tblPrEx>
          <w:tblCellMar>
            <w:top w:w="0" w:type="dxa"/>
            <w:left w:w="0" w:type="dxa"/>
            <w:bottom w:w="0" w:type="dxa"/>
            <w:right w:w="0" w:type="dxa"/>
          </w:tblCellMar>
        </w:tblPrEx>
        <w:trPr>
          <w:gridAfter w:val="1"/>
          <w:wAfter w:w="11" w:type="dxa"/>
          <w:trHeight w:val="1470"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2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133</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20" w:lineRule="exact"/>
              <w:jc w:val="left"/>
              <w:textAlignment w:val="center"/>
              <w:rPr>
                <w:rFonts w:ascii="Times New Roman" w:hAnsi="Times New Roman" w:eastAsia="仿宋_GB2312"/>
                <w:szCs w:val="21"/>
              </w:rPr>
            </w:pPr>
            <w:r>
              <w:rPr>
                <w:rFonts w:ascii="Times New Roman" w:hAnsi="Times New Roman" w:eastAsia="仿宋_GB2312"/>
                <w:kern w:val="0"/>
                <w:szCs w:val="21"/>
              </w:rPr>
              <w:t>公益性殡葬服务建设工程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textAlignment w:val="center"/>
              <w:rPr>
                <w:rFonts w:ascii="Times New Roman" w:hAnsi="Times New Roman" w:eastAsia="仿宋_GB2312"/>
                <w:szCs w:val="21"/>
              </w:rPr>
            </w:pPr>
            <w:r>
              <w:rPr>
                <w:rFonts w:ascii="Times New Roman" w:hAnsi="Times New Roman" w:eastAsia="仿宋_GB2312"/>
                <w:kern w:val="0"/>
                <w:szCs w:val="21"/>
              </w:rPr>
              <w:t>新建或改扩建殡仪馆（殡仪服务中心）、火化设施、骨灰安葬设施、公益性公墓；实施节地生态型公益性安葬（放）设施建设项目，推动县级基本殡葬服务设施全覆盖，推进农村公墓建设。</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20" w:lineRule="exact"/>
              <w:jc w:val="center"/>
              <w:textAlignment w:val="center"/>
              <w:rPr>
                <w:rFonts w:ascii="Times New Roman" w:hAnsi="Times New Roman" w:eastAsia="仿宋_GB2312"/>
                <w:szCs w:val="21"/>
              </w:rPr>
            </w:pPr>
            <w:r>
              <w:rPr>
                <w:rFonts w:ascii="Times New Roman" w:hAnsi="Times New Roman" w:eastAsia="仿宋_GB2312"/>
                <w:kern w:val="0"/>
                <w:szCs w:val="21"/>
              </w:rPr>
              <w:t>民政厅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20" w:lineRule="exact"/>
              <w:jc w:val="center"/>
              <w:rPr>
                <w:rFonts w:ascii="Times New Roman" w:hAnsi="Times New Roman" w:eastAsia="仿宋_GB2312"/>
                <w:kern w:val="0"/>
                <w:szCs w:val="21"/>
              </w:rPr>
            </w:pPr>
            <w:r>
              <w:rPr>
                <w:rFonts w:ascii="Times New Roman" w:hAnsi="Times New Roman" w:eastAsia="仿宋_GB2312"/>
                <w:kern w:val="0"/>
                <w:szCs w:val="21"/>
              </w:rPr>
              <w:t>财政厅、自然资源厅、</w:t>
            </w:r>
          </w:p>
          <w:p>
            <w:pPr>
              <w:widowControl/>
              <w:spacing w:line="320" w:lineRule="exact"/>
              <w:jc w:val="center"/>
              <w:rPr>
                <w:rFonts w:ascii="Times New Roman" w:hAnsi="Times New Roman" w:eastAsia="仿宋_GB2312"/>
                <w:szCs w:val="21"/>
              </w:rPr>
            </w:pPr>
            <w:r>
              <w:rPr>
                <w:rFonts w:ascii="Times New Roman" w:hAnsi="Times New Roman" w:eastAsia="仿宋_GB2312"/>
                <w:kern w:val="0"/>
                <w:szCs w:val="21"/>
              </w:rPr>
              <w:t>农业农村厅</w:t>
            </w:r>
          </w:p>
        </w:tc>
      </w:tr>
      <w:tr>
        <w:tblPrEx>
          <w:tblCellMar>
            <w:top w:w="0" w:type="dxa"/>
            <w:left w:w="0" w:type="dxa"/>
            <w:bottom w:w="0" w:type="dxa"/>
            <w:right w:w="0" w:type="dxa"/>
          </w:tblCellMar>
        </w:tblPrEx>
        <w:trPr>
          <w:gridAfter w:val="1"/>
          <w:wAfter w:w="11" w:type="dxa"/>
          <w:trHeight w:val="348" w:hRule="atLeast"/>
        </w:trPr>
        <w:tc>
          <w:tcPr>
            <w:tcW w:w="1322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40" w:lineRule="exact"/>
              <w:jc w:val="left"/>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二十五、社会治理重点工程项目</w:t>
            </w:r>
          </w:p>
        </w:tc>
      </w:tr>
      <w:tr>
        <w:tblPrEx>
          <w:tblCellMar>
            <w:top w:w="0" w:type="dxa"/>
            <w:left w:w="0" w:type="dxa"/>
            <w:bottom w:w="0" w:type="dxa"/>
            <w:right w:w="0" w:type="dxa"/>
          </w:tblCellMar>
        </w:tblPrEx>
        <w:trPr>
          <w:gridAfter w:val="1"/>
          <w:wAfter w:w="11" w:type="dxa"/>
          <w:trHeight w:val="2523"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134</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应急能力提升工程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textAlignment w:val="center"/>
              <w:rPr>
                <w:rFonts w:ascii="Times New Roman" w:hAnsi="Times New Roman" w:eastAsia="仿宋_GB2312"/>
                <w:szCs w:val="21"/>
              </w:rPr>
            </w:pPr>
            <w:r>
              <w:rPr>
                <w:rFonts w:ascii="Times New Roman" w:hAnsi="Times New Roman" w:eastAsia="仿宋_GB2312"/>
                <w:kern w:val="0"/>
                <w:szCs w:val="21"/>
              </w:rPr>
              <w:t>建设自治区应急管理综合应用平台，建设固原、红寺堡综合应急物资储备库，建设银川市、石嘴山市、吴忠市和青铜峡市、中宁县、贺兰县、惠农区、平罗县、原州区、隆德县、西吉县等应急救灾物资储备库，建设石嘴山市、吴忠市、固原市、中卫市等应急医疗物资储备库；实施粮食绿色仓储提升工程，新建改扩建粮食仓储设施。</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应急厅、</w:t>
            </w:r>
          </w:p>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卫生健康委、</w:t>
            </w:r>
          </w:p>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粮食和储备局</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p>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农业农村厅</w:t>
            </w:r>
            <w:r>
              <w:rPr>
                <w:rFonts w:hint="eastAsia" w:ascii="Times New Roman" w:hAnsi="Times New Roman" w:eastAsia="仿宋_GB2312"/>
                <w:kern w:val="0"/>
                <w:szCs w:val="21"/>
              </w:rPr>
              <w:t>、</w:t>
            </w:r>
            <w:r>
              <w:rPr>
                <w:rFonts w:ascii="Times New Roman" w:hAnsi="Times New Roman" w:eastAsia="仿宋_GB2312"/>
                <w:kern w:val="0"/>
                <w:szCs w:val="21"/>
              </w:rPr>
              <w:t>银川市、</w:t>
            </w:r>
          </w:p>
          <w:p>
            <w:pPr>
              <w:widowControl/>
              <w:jc w:val="center"/>
              <w:textAlignment w:val="center"/>
              <w:rPr>
                <w:rFonts w:ascii="Times New Roman" w:hAnsi="Times New Roman" w:eastAsia="仿宋_GB2312"/>
                <w:b/>
                <w:bCs/>
                <w:szCs w:val="21"/>
              </w:rPr>
            </w:pPr>
            <w:r>
              <w:rPr>
                <w:rFonts w:ascii="Times New Roman" w:hAnsi="Times New Roman" w:eastAsia="仿宋_GB2312"/>
                <w:kern w:val="0"/>
                <w:szCs w:val="21"/>
              </w:rPr>
              <w:t>石嘴山市、吴忠市、固原市、中卫市</w:t>
            </w:r>
          </w:p>
        </w:tc>
      </w:tr>
      <w:tr>
        <w:tblPrEx>
          <w:tblCellMar>
            <w:top w:w="0" w:type="dxa"/>
            <w:left w:w="0" w:type="dxa"/>
            <w:bottom w:w="0" w:type="dxa"/>
            <w:right w:w="0" w:type="dxa"/>
          </w:tblCellMar>
        </w:tblPrEx>
        <w:trPr>
          <w:gridAfter w:val="1"/>
          <w:wAfter w:w="11" w:type="dxa"/>
          <w:trHeight w:val="1525"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135</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公共安全保障工程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textAlignment w:val="center"/>
              <w:rPr>
                <w:rFonts w:ascii="Times New Roman" w:hAnsi="Times New Roman" w:eastAsia="仿宋_GB2312"/>
                <w:szCs w:val="21"/>
              </w:rPr>
            </w:pPr>
            <w:r>
              <w:rPr>
                <w:rFonts w:ascii="Times New Roman" w:hAnsi="Times New Roman" w:eastAsia="仿宋_GB2312"/>
                <w:kern w:val="0"/>
                <w:szCs w:val="21"/>
              </w:rPr>
              <w:t>完善消防救援基础设施，建设一批消防救援站、小型消防站、消防训练基地；在森林草原防火高风险地区建设一批森林草原防火场站；实施地震灾害监测预警工程、宁夏灾害综合风险普查工程。</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应急厅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kern w:val="0"/>
                <w:szCs w:val="21"/>
              </w:rPr>
            </w:pPr>
            <w:r>
              <w:rPr>
                <w:rFonts w:ascii="Times New Roman" w:hAnsi="Times New Roman" w:eastAsia="仿宋_GB2312"/>
                <w:kern w:val="0"/>
                <w:szCs w:val="21"/>
              </w:rPr>
              <w:t>财政厅</w:t>
            </w:r>
            <w:r>
              <w:rPr>
                <w:rFonts w:hint="eastAsia" w:ascii="Times New Roman" w:hAnsi="Times New Roman" w:eastAsia="仿宋_GB2312"/>
                <w:kern w:val="0"/>
                <w:szCs w:val="21"/>
              </w:rPr>
              <w:t>、宁夏</w:t>
            </w:r>
            <w:r>
              <w:rPr>
                <w:rFonts w:ascii="Times New Roman" w:hAnsi="Times New Roman" w:eastAsia="仿宋_GB2312"/>
                <w:kern w:val="0"/>
                <w:szCs w:val="21"/>
              </w:rPr>
              <w:t>地震局</w:t>
            </w:r>
            <w:r>
              <w:rPr>
                <w:rFonts w:hint="eastAsia" w:ascii="Times New Roman" w:hAnsi="Times New Roman" w:eastAsia="仿宋_GB2312"/>
                <w:kern w:val="0"/>
                <w:szCs w:val="21"/>
              </w:rPr>
              <w:t>、</w:t>
            </w:r>
          </w:p>
          <w:p>
            <w:pPr>
              <w:widowControl/>
              <w:jc w:val="center"/>
              <w:textAlignment w:val="center"/>
              <w:rPr>
                <w:rFonts w:ascii="Times New Roman" w:hAnsi="Times New Roman" w:eastAsia="仿宋_GB2312"/>
                <w:szCs w:val="21"/>
              </w:rPr>
            </w:pPr>
            <w:r>
              <w:rPr>
                <w:rFonts w:hint="eastAsia" w:ascii="Times New Roman" w:hAnsi="Times New Roman" w:eastAsia="仿宋_GB2312"/>
                <w:kern w:val="0"/>
                <w:szCs w:val="21"/>
              </w:rPr>
              <w:t>宁夏</w:t>
            </w:r>
            <w:r>
              <w:rPr>
                <w:rFonts w:ascii="Times New Roman" w:hAnsi="Times New Roman" w:eastAsia="仿宋_GB2312"/>
                <w:kern w:val="0"/>
                <w:szCs w:val="21"/>
              </w:rPr>
              <w:t>消防救援总队</w:t>
            </w:r>
            <w:r>
              <w:rPr>
                <w:rFonts w:hint="eastAsia" w:ascii="Times New Roman" w:hAnsi="Times New Roman" w:eastAsia="仿宋_GB2312"/>
                <w:kern w:val="0"/>
                <w:szCs w:val="21"/>
              </w:rPr>
              <w:t>、</w:t>
            </w:r>
            <w:r>
              <w:rPr>
                <w:rFonts w:ascii="Times New Roman" w:hAnsi="Times New Roman" w:eastAsia="仿宋_GB2312"/>
                <w:kern w:val="0"/>
                <w:szCs w:val="21"/>
              </w:rPr>
              <w:t>林草局</w:t>
            </w:r>
          </w:p>
        </w:tc>
      </w:tr>
      <w:tr>
        <w:tblPrEx>
          <w:tblCellMar>
            <w:top w:w="0" w:type="dxa"/>
            <w:left w:w="0" w:type="dxa"/>
            <w:bottom w:w="0" w:type="dxa"/>
            <w:right w:w="0" w:type="dxa"/>
          </w:tblCellMar>
        </w:tblPrEx>
        <w:trPr>
          <w:gridBefore w:val="1"/>
          <w:wBefore w:w="11" w:type="dxa"/>
          <w:trHeight w:val="48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项目名称</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具体项目</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牵头单位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gridAfter w:val="1"/>
          <w:wAfter w:w="11" w:type="dxa"/>
          <w:trHeight w:val="1481"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136</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政法基础设施建设工程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textAlignment w:val="center"/>
              <w:rPr>
                <w:rFonts w:ascii="Times New Roman" w:hAnsi="Times New Roman" w:eastAsia="仿宋_GB2312"/>
                <w:szCs w:val="21"/>
              </w:rPr>
            </w:pPr>
            <w:r>
              <w:rPr>
                <w:rFonts w:ascii="Times New Roman" w:hAnsi="Times New Roman" w:eastAsia="仿宋_GB2312"/>
                <w:kern w:val="0"/>
                <w:szCs w:val="21"/>
              </w:rPr>
              <w:t>完善公安派出所、检查站等基础设施，实施省域治安防控体系、公安装备能力提升、公安科技信息化工程；完善县区级人民法院派出法庭、乡镇司法所基础设施，实施监狱、戒毒场所等信息化改造。</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公安厅、司法厅</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rPr>
                <w:rFonts w:ascii="Times New Roman" w:hAnsi="Times New Roman" w:eastAsia="仿宋_GB2312"/>
                <w:szCs w:val="21"/>
              </w:rPr>
            </w:pPr>
            <w:r>
              <w:rPr>
                <w:rFonts w:ascii="Times New Roman" w:hAnsi="Times New Roman" w:eastAsia="仿宋_GB2312"/>
                <w:kern w:val="0"/>
                <w:szCs w:val="21"/>
              </w:rPr>
              <w:t>发展改革委、财政厅</w:t>
            </w:r>
          </w:p>
        </w:tc>
      </w:tr>
      <w:tr>
        <w:tblPrEx>
          <w:tblCellMar>
            <w:top w:w="0" w:type="dxa"/>
            <w:left w:w="0" w:type="dxa"/>
            <w:bottom w:w="0" w:type="dxa"/>
            <w:right w:w="0" w:type="dxa"/>
          </w:tblCellMar>
        </w:tblPrEx>
        <w:trPr>
          <w:gridAfter w:val="1"/>
          <w:wAfter w:w="11" w:type="dxa"/>
          <w:trHeight w:val="1078" w:hRule="atLeast"/>
        </w:trPr>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137</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Times New Roman" w:hAnsi="Times New Roman" w:eastAsia="仿宋_GB2312"/>
                <w:szCs w:val="21"/>
              </w:rPr>
            </w:pPr>
            <w:r>
              <w:rPr>
                <w:rFonts w:ascii="Times New Roman" w:hAnsi="Times New Roman" w:eastAsia="仿宋_GB2312"/>
                <w:kern w:val="0"/>
                <w:szCs w:val="21"/>
              </w:rPr>
              <w:t>网络安全保障工程</w:t>
            </w:r>
          </w:p>
        </w:tc>
        <w:tc>
          <w:tcPr>
            <w:tcW w:w="469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ascii="Times New Roman" w:hAnsi="Times New Roman" w:eastAsia="仿宋_GB2312"/>
                <w:kern w:val="0"/>
                <w:szCs w:val="21"/>
              </w:rPr>
              <w:t>完善宁夏关键信息基础设施安全防护管理平台建设，实施宁夏信息技术创新工程，提升数据安全保障能力。</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党委网信办</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ascii="Times New Roman" w:hAnsi="Times New Roman" w:eastAsia="仿宋_GB2312"/>
                <w:kern w:val="0"/>
                <w:szCs w:val="21"/>
              </w:rPr>
              <w:t>工业和信息化厅、公安厅</w:t>
            </w:r>
          </w:p>
        </w:tc>
      </w:tr>
    </w:tbl>
    <w:p>
      <w:pPr>
        <w:spacing w:line="20" w:lineRule="exact"/>
        <w:rPr>
          <w:rFonts w:ascii="Times New Roman" w:hAnsi="Times New Roman" w:eastAsia="仿宋_GB2312"/>
          <w:sz w:val="32"/>
          <w:szCs w:val="32"/>
        </w:rPr>
      </w:pPr>
    </w:p>
    <w:sectPr>
      <w:footerReference r:id="rId3" w:type="default"/>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E6A43BF"/>
    <w:rsid w:val="00022944"/>
    <w:rsid w:val="0013173D"/>
    <w:rsid w:val="00137E9A"/>
    <w:rsid w:val="001D0336"/>
    <w:rsid w:val="0027159D"/>
    <w:rsid w:val="002C598F"/>
    <w:rsid w:val="003206D3"/>
    <w:rsid w:val="00357937"/>
    <w:rsid w:val="003800DF"/>
    <w:rsid w:val="004C6270"/>
    <w:rsid w:val="00653A44"/>
    <w:rsid w:val="006C51B3"/>
    <w:rsid w:val="006E3E70"/>
    <w:rsid w:val="007713F0"/>
    <w:rsid w:val="007E59B3"/>
    <w:rsid w:val="008C2D27"/>
    <w:rsid w:val="00940ECE"/>
    <w:rsid w:val="00A04B86"/>
    <w:rsid w:val="00A329A7"/>
    <w:rsid w:val="00A61A50"/>
    <w:rsid w:val="00AE58B1"/>
    <w:rsid w:val="00C25432"/>
    <w:rsid w:val="00CC4901"/>
    <w:rsid w:val="00D51E26"/>
    <w:rsid w:val="00DA3620"/>
    <w:rsid w:val="00DB4D3B"/>
    <w:rsid w:val="00F41FA9"/>
    <w:rsid w:val="00F72F08"/>
    <w:rsid w:val="00FA41AA"/>
    <w:rsid w:val="01187AD8"/>
    <w:rsid w:val="014D164E"/>
    <w:rsid w:val="01D43C13"/>
    <w:rsid w:val="01F15456"/>
    <w:rsid w:val="029D519D"/>
    <w:rsid w:val="03607E0E"/>
    <w:rsid w:val="03674B76"/>
    <w:rsid w:val="03984A80"/>
    <w:rsid w:val="03AB3B5B"/>
    <w:rsid w:val="0408382E"/>
    <w:rsid w:val="07475D2C"/>
    <w:rsid w:val="07E22A1A"/>
    <w:rsid w:val="085F6DA0"/>
    <w:rsid w:val="087B53DB"/>
    <w:rsid w:val="089738D7"/>
    <w:rsid w:val="09A73601"/>
    <w:rsid w:val="0A9D75D9"/>
    <w:rsid w:val="0ABE490B"/>
    <w:rsid w:val="0AE03A6B"/>
    <w:rsid w:val="0B11629D"/>
    <w:rsid w:val="0B2F4BD5"/>
    <w:rsid w:val="0B627F71"/>
    <w:rsid w:val="0D121CF4"/>
    <w:rsid w:val="0D423A51"/>
    <w:rsid w:val="0DB91BB3"/>
    <w:rsid w:val="0DC8168A"/>
    <w:rsid w:val="0E4706B2"/>
    <w:rsid w:val="0E95514B"/>
    <w:rsid w:val="0EF43D05"/>
    <w:rsid w:val="0FE819D9"/>
    <w:rsid w:val="102A6C41"/>
    <w:rsid w:val="114B6ECC"/>
    <w:rsid w:val="11A4627B"/>
    <w:rsid w:val="12F354DA"/>
    <w:rsid w:val="13011B41"/>
    <w:rsid w:val="14A94AA3"/>
    <w:rsid w:val="17897380"/>
    <w:rsid w:val="18C57A3E"/>
    <w:rsid w:val="190000C8"/>
    <w:rsid w:val="19294501"/>
    <w:rsid w:val="19684DDD"/>
    <w:rsid w:val="19BF6908"/>
    <w:rsid w:val="19E429B8"/>
    <w:rsid w:val="1AC95C25"/>
    <w:rsid w:val="1AE269A5"/>
    <w:rsid w:val="1B4B306A"/>
    <w:rsid w:val="1B67078C"/>
    <w:rsid w:val="1C1351D2"/>
    <w:rsid w:val="1C216839"/>
    <w:rsid w:val="1C3C056F"/>
    <w:rsid w:val="1CCA0479"/>
    <w:rsid w:val="1D886900"/>
    <w:rsid w:val="1E372D98"/>
    <w:rsid w:val="1E860997"/>
    <w:rsid w:val="1F7E5B57"/>
    <w:rsid w:val="1FEF75DC"/>
    <w:rsid w:val="20CE31CE"/>
    <w:rsid w:val="220E4DFC"/>
    <w:rsid w:val="22212F5F"/>
    <w:rsid w:val="2376CF68"/>
    <w:rsid w:val="2707285B"/>
    <w:rsid w:val="27C05031"/>
    <w:rsid w:val="28526EFA"/>
    <w:rsid w:val="28757ADF"/>
    <w:rsid w:val="298505BF"/>
    <w:rsid w:val="29C11C24"/>
    <w:rsid w:val="29CB3CB9"/>
    <w:rsid w:val="2A0347BE"/>
    <w:rsid w:val="2B7F74E7"/>
    <w:rsid w:val="2BED9F70"/>
    <w:rsid w:val="2E097D22"/>
    <w:rsid w:val="2E0E33AB"/>
    <w:rsid w:val="2E573274"/>
    <w:rsid w:val="2F9247C9"/>
    <w:rsid w:val="2FCD136F"/>
    <w:rsid w:val="302062CA"/>
    <w:rsid w:val="309A75A9"/>
    <w:rsid w:val="30E32116"/>
    <w:rsid w:val="31A03268"/>
    <w:rsid w:val="330A1718"/>
    <w:rsid w:val="3354009E"/>
    <w:rsid w:val="33DD25C6"/>
    <w:rsid w:val="341A595C"/>
    <w:rsid w:val="34B33434"/>
    <w:rsid w:val="34B82513"/>
    <w:rsid w:val="34C14535"/>
    <w:rsid w:val="355401C6"/>
    <w:rsid w:val="36146A06"/>
    <w:rsid w:val="361C5A66"/>
    <w:rsid w:val="36204E53"/>
    <w:rsid w:val="37543462"/>
    <w:rsid w:val="37A052C1"/>
    <w:rsid w:val="37AA3407"/>
    <w:rsid w:val="37C50DAD"/>
    <w:rsid w:val="37D478C6"/>
    <w:rsid w:val="3A9235A8"/>
    <w:rsid w:val="3BCB0162"/>
    <w:rsid w:val="3C140C58"/>
    <w:rsid w:val="3CC1638F"/>
    <w:rsid w:val="3EB17E5F"/>
    <w:rsid w:val="3F3825F9"/>
    <w:rsid w:val="3FFF2AB2"/>
    <w:rsid w:val="41A63283"/>
    <w:rsid w:val="41F05B3B"/>
    <w:rsid w:val="42995A30"/>
    <w:rsid w:val="44D61674"/>
    <w:rsid w:val="44FC2BD9"/>
    <w:rsid w:val="463278D6"/>
    <w:rsid w:val="46567B64"/>
    <w:rsid w:val="46CE72E3"/>
    <w:rsid w:val="492E3FDA"/>
    <w:rsid w:val="49FC3568"/>
    <w:rsid w:val="4C0D288D"/>
    <w:rsid w:val="4CF10073"/>
    <w:rsid w:val="4E6A43BF"/>
    <w:rsid w:val="4EFA186E"/>
    <w:rsid w:val="4F991EAD"/>
    <w:rsid w:val="4FF34A56"/>
    <w:rsid w:val="50140853"/>
    <w:rsid w:val="502D15AB"/>
    <w:rsid w:val="5076688A"/>
    <w:rsid w:val="508D5044"/>
    <w:rsid w:val="508F7F76"/>
    <w:rsid w:val="50A46EB7"/>
    <w:rsid w:val="511A2E5D"/>
    <w:rsid w:val="52BBA0B3"/>
    <w:rsid w:val="53FE6A16"/>
    <w:rsid w:val="55E77AFF"/>
    <w:rsid w:val="55EE1D7B"/>
    <w:rsid w:val="56602C62"/>
    <w:rsid w:val="566F41B3"/>
    <w:rsid w:val="57F79D7A"/>
    <w:rsid w:val="58203D69"/>
    <w:rsid w:val="589D0102"/>
    <w:rsid w:val="5992694F"/>
    <w:rsid w:val="59E56E88"/>
    <w:rsid w:val="59EB2470"/>
    <w:rsid w:val="5A4A1C9A"/>
    <w:rsid w:val="5A994948"/>
    <w:rsid w:val="5AC44AC0"/>
    <w:rsid w:val="5AE3683A"/>
    <w:rsid w:val="5DC7214E"/>
    <w:rsid w:val="5E3A60E6"/>
    <w:rsid w:val="5EBD0178"/>
    <w:rsid w:val="5ECC65F0"/>
    <w:rsid w:val="5F9A7C78"/>
    <w:rsid w:val="60384068"/>
    <w:rsid w:val="60C44EF7"/>
    <w:rsid w:val="6245102E"/>
    <w:rsid w:val="637A1ECB"/>
    <w:rsid w:val="63E34678"/>
    <w:rsid w:val="63E5270B"/>
    <w:rsid w:val="655329F4"/>
    <w:rsid w:val="65A7448B"/>
    <w:rsid w:val="66A03314"/>
    <w:rsid w:val="66CA6271"/>
    <w:rsid w:val="67205226"/>
    <w:rsid w:val="67442D59"/>
    <w:rsid w:val="67DD1155"/>
    <w:rsid w:val="688C5948"/>
    <w:rsid w:val="69A045AF"/>
    <w:rsid w:val="6A503866"/>
    <w:rsid w:val="6ADF35D2"/>
    <w:rsid w:val="6B0614B8"/>
    <w:rsid w:val="6B7036D0"/>
    <w:rsid w:val="6BB7602D"/>
    <w:rsid w:val="6D237458"/>
    <w:rsid w:val="6E8D559F"/>
    <w:rsid w:val="6E8F20DC"/>
    <w:rsid w:val="6F33788E"/>
    <w:rsid w:val="6F9D619C"/>
    <w:rsid w:val="6FC7267C"/>
    <w:rsid w:val="70116E16"/>
    <w:rsid w:val="70D6432E"/>
    <w:rsid w:val="71964B85"/>
    <w:rsid w:val="72C50374"/>
    <w:rsid w:val="734C1B53"/>
    <w:rsid w:val="73862734"/>
    <w:rsid w:val="746871ED"/>
    <w:rsid w:val="75DC3FDB"/>
    <w:rsid w:val="75FDBE72"/>
    <w:rsid w:val="763424E7"/>
    <w:rsid w:val="764E53A8"/>
    <w:rsid w:val="767B51E1"/>
    <w:rsid w:val="76860B62"/>
    <w:rsid w:val="769F68C2"/>
    <w:rsid w:val="796D11B9"/>
    <w:rsid w:val="7A097FE4"/>
    <w:rsid w:val="7ABF1FFD"/>
    <w:rsid w:val="7AF834EF"/>
    <w:rsid w:val="7B591524"/>
    <w:rsid w:val="7BBB6A3E"/>
    <w:rsid w:val="7BC435E8"/>
    <w:rsid w:val="7BE20D3B"/>
    <w:rsid w:val="7BE23D55"/>
    <w:rsid w:val="7CA53895"/>
    <w:rsid w:val="7D2A5240"/>
    <w:rsid w:val="7D537348"/>
    <w:rsid w:val="7DA73B9D"/>
    <w:rsid w:val="7E39BCC4"/>
    <w:rsid w:val="7F2520FA"/>
    <w:rsid w:val="7F9F7BEF"/>
    <w:rsid w:val="7FF6401D"/>
    <w:rsid w:val="BAE652CF"/>
    <w:rsid w:val="EBFB9D3F"/>
    <w:rsid w:val="F6FF487C"/>
    <w:rsid w:val="FD672E15"/>
    <w:rsid w:val="FFAE0B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spacing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customStyle="1" w:styleId="9">
    <w:name w:val="font81"/>
    <w:basedOn w:val="8"/>
    <w:qFormat/>
    <w:uiPriority w:val="0"/>
    <w:rPr>
      <w:rFonts w:ascii="方正小标宋简体" w:hAnsi="方正小标宋简体" w:eastAsia="方正小标宋简体" w:cs="方正小标宋简体"/>
      <w:color w:val="000000"/>
      <w:sz w:val="36"/>
      <w:szCs w:val="36"/>
      <w:u w:val="none"/>
    </w:rPr>
  </w:style>
  <w:style w:type="character" w:customStyle="1" w:styleId="10">
    <w:name w:val="font101"/>
    <w:basedOn w:val="8"/>
    <w:qFormat/>
    <w:uiPriority w:val="0"/>
    <w:rPr>
      <w:rFonts w:hint="eastAsia" w:ascii="宋体" w:hAnsi="宋体" w:eastAsia="宋体" w:cs="宋体"/>
      <w:b/>
      <w:color w:val="000000"/>
      <w:sz w:val="28"/>
      <w:szCs w:val="28"/>
      <w:u w:val="none"/>
    </w:rPr>
  </w:style>
  <w:style w:type="character" w:customStyle="1" w:styleId="11">
    <w:name w:val="font61"/>
    <w:basedOn w:val="8"/>
    <w:qFormat/>
    <w:uiPriority w:val="0"/>
    <w:rPr>
      <w:rFonts w:ascii="黑体" w:hAnsi="宋体" w:eastAsia="黑体" w:cs="黑体"/>
      <w:color w:val="000000"/>
      <w:sz w:val="28"/>
      <w:szCs w:val="28"/>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51"/>
    <w:basedOn w:val="8"/>
    <w:qFormat/>
    <w:uiPriority w:val="0"/>
    <w:rPr>
      <w:rFonts w:hint="default" w:ascii="Times New Roman" w:hAnsi="Times New Roman" w:cs="Times New Roman"/>
      <w:color w:val="000000"/>
      <w:sz w:val="22"/>
      <w:szCs w:val="22"/>
      <w:u w:val="none"/>
    </w:rPr>
  </w:style>
  <w:style w:type="character" w:customStyle="1" w:styleId="14">
    <w:name w:val="font91"/>
    <w:basedOn w:val="8"/>
    <w:qFormat/>
    <w:uiPriority w:val="0"/>
    <w:rPr>
      <w:rFonts w:hint="eastAsia" w:ascii="宋体" w:hAnsi="宋体" w:eastAsia="宋体" w:cs="宋体"/>
      <w:color w:val="000000"/>
      <w:sz w:val="22"/>
      <w:szCs w:val="22"/>
      <w:u w:val="none"/>
    </w:rPr>
  </w:style>
  <w:style w:type="character" w:customStyle="1" w:styleId="15">
    <w:name w:val="font71"/>
    <w:qFormat/>
    <w:uiPriority w:val="0"/>
    <w:rPr>
      <w:rFonts w:hint="default" w:ascii="Times New Roman" w:hAnsi="Times New Roman" w:cs="Times New Roman"/>
      <w:color w:val="000000"/>
      <w:sz w:val="21"/>
      <w:szCs w:val="21"/>
      <w:u w:val="none"/>
    </w:rPr>
  </w:style>
  <w:style w:type="character" w:customStyle="1" w:styleId="16">
    <w:name w:val="font31"/>
    <w:qFormat/>
    <w:uiPriority w:val="0"/>
    <w:rPr>
      <w:rFonts w:hint="eastAsia" w:ascii="宋体" w:hAnsi="宋体" w:eastAsia="宋体" w:cs="宋体"/>
      <w:color w:val="000000"/>
      <w:sz w:val="21"/>
      <w:szCs w:val="21"/>
      <w:u w:val="none"/>
    </w:rPr>
  </w:style>
  <w:style w:type="character" w:customStyle="1" w:styleId="17">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28</Pages>
  <Words>10359</Words>
  <Characters>10464</Characters>
  <Lines>498</Lines>
  <Paragraphs>219</Paragraphs>
  <TotalTime>55</TotalTime>
  <ScaleCrop>false</ScaleCrop>
  <LinksUpToDate>false</LinksUpToDate>
  <CharactersWithSpaces>20604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2021-05-17T07:41:00Z</dcterms:created>
  <dc:creator>莫愁</dc:creator>
  <cp:lastModifiedBy>Administrator</cp:lastModifiedBy>
  <cp:lastPrinted>2021-05-18T02:22:00Z</cp:lastPrinted>
  <dcterms:modified xsi:type="dcterms:W3CDTF">2021-05-24T09:40:34Z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440386095_cloud</vt:lpwstr>
  </property>
  <property fmtid="{D5CDD505-2E9C-101B-9397-08002B2CF9AE}" pid="4" name="ICV">
    <vt:lpwstr>BF9DD425C7724364B9C5684F727551F0</vt:lpwstr>
  </property>
</Properties>
</file>